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6C0" w:rsidRPr="00992AF1" w:rsidRDefault="003A16C0" w:rsidP="003A16C0">
      <w:pPr>
        <w:pStyle w:val="Nagwek1"/>
        <w:numPr>
          <w:ilvl w:val="0"/>
          <w:numId w:val="0"/>
        </w:numPr>
        <w:rPr>
          <w:rFonts w:eastAsia="Times New Roman"/>
          <w:lang w:eastAsia="pl-PL"/>
        </w:rPr>
      </w:pPr>
      <w:bookmarkStart w:id="0" w:name="_Toc100671089"/>
      <w:r w:rsidRPr="00992AF1">
        <w:rPr>
          <w:rFonts w:eastAsia="Times New Roman"/>
          <w:lang w:eastAsia="pl-PL"/>
        </w:rPr>
        <w:t>Streszczenie w języku polski</w:t>
      </w:r>
      <w:bookmarkEnd w:id="0"/>
    </w:p>
    <w:p w:rsidR="003A16C0" w:rsidRPr="00FF0693" w:rsidRDefault="003A16C0" w:rsidP="003A16C0">
      <w:pPr>
        <w:pStyle w:val="Teskt"/>
        <w:spacing w:line="324" w:lineRule="auto"/>
        <w:ind w:firstLine="0"/>
        <w:rPr>
          <w:rFonts w:cs="Times New Roman (Tekst podstawo"/>
          <w:spacing w:val="-4"/>
        </w:rPr>
      </w:pPr>
      <w:r w:rsidRPr="00FF0693">
        <w:rPr>
          <w:rFonts w:cs="Times New Roman (Tekst podstawo"/>
          <w:spacing w:val="-4"/>
        </w:rPr>
        <w:t xml:space="preserve">Szacuje się, że 25-30% ludzkiej populacji jest zarażona wewnątrzkomórkowym, kosmopolitycznym pierwotniakiem </w:t>
      </w:r>
      <w:r w:rsidRPr="00FF0693">
        <w:rPr>
          <w:rFonts w:cs="Times New Roman (Tekst podstawo"/>
          <w:i/>
          <w:spacing w:val="-4"/>
        </w:rPr>
        <w:t>Toxoplasma gondii</w:t>
      </w:r>
      <w:r w:rsidRPr="00FF0693">
        <w:rPr>
          <w:rFonts w:cs="Times New Roman (Tekst podstawo"/>
          <w:spacing w:val="-4"/>
        </w:rPr>
        <w:t xml:space="preserve"> (</w:t>
      </w:r>
      <w:r w:rsidRPr="00FF0693">
        <w:rPr>
          <w:rFonts w:cs="Times New Roman (Tekst podstawo"/>
          <w:i/>
          <w:spacing w:val="-4"/>
        </w:rPr>
        <w:t>T. gondii</w:t>
      </w:r>
      <w:r w:rsidRPr="00FF0693">
        <w:rPr>
          <w:rFonts w:cs="Times New Roman (Tekst podstawo"/>
          <w:spacing w:val="-4"/>
        </w:rPr>
        <w:t xml:space="preserve">), będącym czynnikiem etiologicznym toksoplazmozy, choroby niebezpiecznej dla osób z obniżoną odpornością oraz rozwijających się płodów. Inwazje </w:t>
      </w:r>
      <w:r w:rsidRPr="00FF0693">
        <w:rPr>
          <w:rFonts w:cs="Times New Roman (Tekst podstawo"/>
          <w:i/>
          <w:spacing w:val="-4"/>
        </w:rPr>
        <w:t>T. gondii</w:t>
      </w:r>
      <w:r w:rsidRPr="00FF0693">
        <w:rPr>
          <w:rFonts w:cs="Times New Roman (Tekst podstawo"/>
          <w:spacing w:val="-4"/>
        </w:rPr>
        <w:t xml:space="preserve"> stanowią także problem u zwierząt hodowlanych, szczególnie owiec i świń, ponieważ są przyczyną dużych strat finansowych i reprodukcyjnych. Brak szczepionek dla ludzi oraz odnotowana wzrastająca oporność </w:t>
      </w:r>
      <w:r>
        <w:rPr>
          <w:rFonts w:cs="Times New Roman (Tekst podstawo"/>
          <w:spacing w:val="-4"/>
        </w:rPr>
        <w:br/>
      </w:r>
      <w:r w:rsidRPr="00FF0693">
        <w:rPr>
          <w:rFonts w:cs="Times New Roman (Tekst podstawo"/>
          <w:i/>
          <w:spacing w:val="-4"/>
        </w:rPr>
        <w:t>T. gondii</w:t>
      </w:r>
      <w:r w:rsidRPr="00FF0693">
        <w:rPr>
          <w:rFonts w:cs="Times New Roman (Tekst podstawo"/>
          <w:spacing w:val="-4"/>
        </w:rPr>
        <w:t xml:space="preserve"> na obecnie stosowane leki, wywołujące szereg skutków ubocznych, stały się wyzwaniem dla licznych ośrodków badawczych, poszukujących preparatów szczepionkowych oraz związków </w:t>
      </w:r>
      <w:r>
        <w:rPr>
          <w:rFonts w:cs="Times New Roman (Tekst podstawo"/>
          <w:spacing w:val="-4"/>
        </w:rPr>
        <w:br/>
      </w:r>
      <w:r w:rsidRPr="00FF0693">
        <w:rPr>
          <w:rFonts w:cs="Times New Roman (Tekst podstawo"/>
          <w:spacing w:val="-4"/>
        </w:rPr>
        <w:t xml:space="preserve">o aktywności przeciw </w:t>
      </w:r>
      <w:r w:rsidRPr="00FF0693">
        <w:rPr>
          <w:rFonts w:cs="Times New Roman (Tekst podstawo"/>
          <w:i/>
          <w:spacing w:val="-4"/>
        </w:rPr>
        <w:t>Toxoplasma</w:t>
      </w:r>
      <w:r w:rsidRPr="00FF0693">
        <w:rPr>
          <w:rFonts w:cs="Times New Roman (Tekst podstawo"/>
          <w:spacing w:val="-4"/>
        </w:rPr>
        <w:t xml:space="preserve">. Wysoka selektywność związków wobec pierwotniaka, przy jednoczesnej niskiej cytotoksyczności wobec komórek zasiedlanego gospodarza jest podstawą do dalszych badań zmierzających do określenia celu molekularnego dla wyselekcjonowanych związków. Wstępna preselekcja 143 nowych związków będących pochodnymi: tiosemikarbazydu, tiazolu, tiadiazolu, benzotiofenu, tiazolidynonu oraz enancjomeru R talidomidu, pod kątem ich aktywność przeciw </w:t>
      </w:r>
      <w:r w:rsidRPr="00FF0693">
        <w:rPr>
          <w:rFonts w:cs="Times New Roman (Tekst podstawo"/>
          <w:i/>
          <w:spacing w:val="-4"/>
        </w:rPr>
        <w:t>T. gondii</w:t>
      </w:r>
      <w:r w:rsidRPr="00FF0693">
        <w:rPr>
          <w:rFonts w:cs="Times New Roman (Tekst podstawo"/>
          <w:spacing w:val="-4"/>
        </w:rPr>
        <w:t xml:space="preserve"> oraz oceny selektywności umożliwiła wytypowanie do dalszych badań pochodne 4-arylotiosemikarbazydu. Jako potencjalne cele molekularne dla pochodnych 4-arylotiosemikarbazydu wskazano enzymy odpowiedzialne za przemianę aminokwasów aromatycznych: Tyr, Phe i </w:t>
      </w:r>
      <w:proofErr w:type="spellStart"/>
      <w:r w:rsidRPr="00FF0693">
        <w:rPr>
          <w:rFonts w:cs="Times New Roman (Tekst podstawo"/>
          <w:spacing w:val="-4"/>
        </w:rPr>
        <w:t>Trp</w:t>
      </w:r>
      <w:proofErr w:type="spellEnd"/>
      <w:r w:rsidRPr="00FF0693">
        <w:rPr>
          <w:rFonts w:cs="Times New Roman (Tekst podstawo"/>
          <w:spacing w:val="-4"/>
        </w:rPr>
        <w:t xml:space="preserve"> wobec których pasożyt jest auksotrofem. Jednym z istotnych aminokwasów zaangażowanych do tworzenia wakuoli pasożytniczych umożliwiających proces powstawania potomnych tachyzoitów jest tyrozyna przekształcana przez dwie unikalne hydroksylazy aminokwasów aromatycznych (AAH1 i AAH2) do lewodopy. Przeprowadzone badania enzymatyczne oraz zastosowanie testu powinowactwa związku do białka potwierdziło zahamowanie aktywności otrzymanych w systemie ekspresyjnym </w:t>
      </w:r>
      <w:r w:rsidRPr="00FF0693">
        <w:rPr>
          <w:rFonts w:cs="Times New Roman (Tekst podstawo"/>
          <w:i/>
          <w:spacing w:val="-4"/>
        </w:rPr>
        <w:t>Escherichia coli</w:t>
      </w:r>
      <w:r w:rsidRPr="00FF0693">
        <w:rPr>
          <w:rFonts w:cs="Times New Roman (Tekst podstawo"/>
          <w:spacing w:val="-4"/>
        </w:rPr>
        <w:t xml:space="preserve"> rekombinowanych białek AAH1 i AAH2 przez dwie pochodne 4-arylotiosemikarbazydu z podstawnikiem 4-nitrofenylowym (</w:t>
      </w:r>
      <w:r w:rsidRPr="00FF0693">
        <w:rPr>
          <w:rFonts w:cs="Times New Roman (Tekst podstawo"/>
          <w:b/>
          <w:spacing w:val="-4"/>
        </w:rPr>
        <w:t>2a</w:t>
      </w:r>
      <w:r w:rsidRPr="00FF0693">
        <w:rPr>
          <w:rFonts w:cs="Times New Roman (Tekst podstawo"/>
          <w:spacing w:val="-4"/>
        </w:rPr>
        <w:t>) lub 3-jodofenylowym (</w:t>
      </w:r>
      <w:r w:rsidRPr="00FF0693">
        <w:rPr>
          <w:rFonts w:cs="Times New Roman (Tekst podstawo"/>
          <w:b/>
          <w:spacing w:val="-4"/>
        </w:rPr>
        <w:t>6a</w:t>
      </w:r>
      <w:r w:rsidRPr="00FF0693">
        <w:rPr>
          <w:rFonts w:cs="Times New Roman (Tekst podstawo"/>
          <w:spacing w:val="-4"/>
        </w:rPr>
        <w:t xml:space="preserve">). Natomiast prowadzone badania </w:t>
      </w:r>
      <w:r w:rsidRPr="00FF0693">
        <w:rPr>
          <w:rFonts w:cs="Times New Roman (Tekst podstawo"/>
          <w:i/>
          <w:spacing w:val="-4"/>
        </w:rPr>
        <w:t>in vivo</w:t>
      </w:r>
      <w:r w:rsidRPr="00FF0693">
        <w:rPr>
          <w:rFonts w:cs="Times New Roman (Tekst podstawo"/>
          <w:spacing w:val="-4"/>
        </w:rPr>
        <w:t xml:space="preserve"> z użyciem samic myszy domowej szczepu BALB/c potwierdziły brak toksyczności, przy maksymalnej dawce tolerowalnej 1000 mg/kg m.c. Zastosowana terapia nie spowodowała istotnego wzrostu poziomu enzymów wątrobowych czy kreatyniny, a analiza farmakokinetyczna wyselekcjonowanych pochodnych potwierdziła, że związki przedostają się do układu krążenia i przechodzą barierę krew-mózg. Pochodne </w:t>
      </w:r>
      <w:r w:rsidRPr="00FF0693">
        <w:rPr>
          <w:rFonts w:cs="Times New Roman (Tekst podstawo"/>
          <w:b/>
          <w:spacing w:val="-4"/>
        </w:rPr>
        <w:t>2a</w:t>
      </w:r>
      <w:r w:rsidRPr="00FF0693">
        <w:rPr>
          <w:rFonts w:cs="Times New Roman (Tekst podstawo"/>
          <w:spacing w:val="-4"/>
        </w:rPr>
        <w:t xml:space="preserve"> oraz </w:t>
      </w:r>
      <w:r w:rsidRPr="00FF0693">
        <w:rPr>
          <w:rFonts w:cs="Times New Roman (Tekst podstawo"/>
          <w:b/>
          <w:spacing w:val="-4"/>
        </w:rPr>
        <w:t>6a</w:t>
      </w:r>
      <w:r w:rsidRPr="00FF0693">
        <w:rPr>
          <w:rFonts w:cs="Times New Roman (Tekst podstawo"/>
          <w:spacing w:val="-4"/>
        </w:rPr>
        <w:t xml:space="preserve"> wykazały istotną aktywność przeciwpasożytniczą poprzez eliminację tachyzoitów szczepu RH </w:t>
      </w:r>
      <w:r w:rsidRPr="00FF0693">
        <w:rPr>
          <w:rFonts w:cs="Times New Roman (Tekst podstawo"/>
          <w:i/>
          <w:spacing w:val="-4"/>
        </w:rPr>
        <w:t>T. gondii</w:t>
      </w:r>
      <w:r w:rsidRPr="00FF0693">
        <w:rPr>
          <w:rFonts w:cs="Times New Roman (Tekst podstawo"/>
          <w:spacing w:val="-4"/>
        </w:rPr>
        <w:t xml:space="preserve"> podczas ostrej toksoplazmozy </w:t>
      </w:r>
      <w:r>
        <w:rPr>
          <w:rFonts w:cs="Times New Roman (Tekst podstawo"/>
          <w:spacing w:val="-4"/>
        </w:rPr>
        <w:br/>
      </w:r>
      <w:r w:rsidRPr="00FF0693">
        <w:rPr>
          <w:rFonts w:cs="Times New Roman (Tekst podstawo"/>
          <w:spacing w:val="-4"/>
        </w:rPr>
        <w:t xml:space="preserve">u zarażonych myszy oraz redukcję cyst tkankowych szczepu DX </w:t>
      </w:r>
      <w:r w:rsidRPr="00FF0693">
        <w:rPr>
          <w:rFonts w:cs="Times New Roman (Tekst podstawo"/>
          <w:i/>
          <w:spacing w:val="-4"/>
        </w:rPr>
        <w:t>T. gondii</w:t>
      </w:r>
      <w:r w:rsidRPr="00FF0693">
        <w:rPr>
          <w:rFonts w:cs="Times New Roman (Tekst podstawo"/>
          <w:spacing w:val="-4"/>
        </w:rPr>
        <w:t xml:space="preserve"> w mózgu, sercu oraz mięśniach. Ponadto, potwierdzono szeroką aktywność biologiczną pochodnych tiosemikarbazydu wykazując, że pochodne 4-arylotiosemikarbazydu mogą blokować szlak NF-κB, który aktywuje odpowiedz zapalną </w:t>
      </w:r>
      <w:r>
        <w:rPr>
          <w:rFonts w:cs="Times New Roman (Tekst podstawo"/>
          <w:spacing w:val="-4"/>
        </w:rPr>
        <w:br/>
      </w:r>
      <w:r w:rsidRPr="00FF0693">
        <w:rPr>
          <w:rFonts w:cs="Times New Roman (Tekst podstawo"/>
          <w:spacing w:val="-4"/>
        </w:rPr>
        <w:t xml:space="preserve">w komórkach. Otrzymane wyniki pozwoliły na opisanie po raz pierwszy mechanizmu działania pochodnych dwóch wyselekcjonowanych 4-arylotiosemikarbazydu na </w:t>
      </w:r>
      <w:r w:rsidRPr="00FF0693">
        <w:rPr>
          <w:rFonts w:cs="Times New Roman (Tekst podstawo"/>
          <w:i/>
          <w:spacing w:val="-4"/>
        </w:rPr>
        <w:t>Toxoplasma godnii</w:t>
      </w:r>
      <w:r w:rsidRPr="00FF0693">
        <w:rPr>
          <w:rFonts w:cs="Times New Roman (Tekst podstawo"/>
          <w:spacing w:val="-4"/>
        </w:rPr>
        <w:t xml:space="preserve"> oraz wskazanie tych pochodnych jako związków nadających się do dalszych etapów badań przedklinicznych.</w:t>
      </w:r>
      <w:r w:rsidRPr="00FF0693">
        <w:rPr>
          <w:rFonts w:cs="Times New Roman (Tekst podstawo"/>
          <w:spacing w:val="-4"/>
        </w:rPr>
        <w:br w:type="page"/>
      </w:r>
    </w:p>
    <w:p w:rsidR="003A16C0" w:rsidRDefault="003A16C0" w:rsidP="003A16C0">
      <w:pPr>
        <w:pStyle w:val="Nagwek1"/>
        <w:numPr>
          <w:ilvl w:val="0"/>
          <w:numId w:val="0"/>
        </w:numPr>
        <w:ind w:left="432" w:hanging="432"/>
        <w:rPr>
          <w:rFonts w:eastAsia="Times New Roman"/>
          <w:color w:val="auto"/>
          <w:lang w:eastAsia="pl-PL"/>
        </w:rPr>
      </w:pPr>
      <w:bookmarkStart w:id="1" w:name="_Toc100671090"/>
      <w:r w:rsidRPr="00992AF1">
        <w:rPr>
          <w:rFonts w:eastAsia="Times New Roman"/>
          <w:color w:val="auto"/>
          <w:lang w:eastAsia="pl-PL"/>
        </w:rPr>
        <w:lastRenderedPageBreak/>
        <w:t>Streszczenie w języku angielskim</w:t>
      </w:r>
      <w:bookmarkEnd w:id="1"/>
    </w:p>
    <w:p w:rsidR="004B6B68" w:rsidRPr="003A16C0" w:rsidRDefault="003A16C0" w:rsidP="003A16C0">
      <w:pPr>
        <w:rPr>
          <w:lang w:val="en-US"/>
        </w:rPr>
      </w:pPr>
      <w:r w:rsidRPr="00C233FB">
        <w:rPr>
          <w:rFonts w:cs="Times New Roman (Tekst podstawo"/>
          <w:spacing w:val="-4"/>
          <w:lang w:val="en-US"/>
        </w:rPr>
        <w:t xml:space="preserve">Approximately from 25 to 30% of the human population is infected with the intracellular, cosmopolitan protozoan </w:t>
      </w:r>
      <w:r w:rsidRPr="00C233FB">
        <w:rPr>
          <w:rFonts w:cs="Times New Roman (Tekst podstawo"/>
          <w:i/>
          <w:spacing w:val="-4"/>
          <w:lang w:val="en-US"/>
        </w:rPr>
        <w:t>Toxoplasma gondii</w:t>
      </w:r>
      <w:r w:rsidRPr="00C233FB">
        <w:rPr>
          <w:rFonts w:cs="Times New Roman (Tekst podstawo"/>
          <w:spacing w:val="-4"/>
          <w:lang w:val="en-US"/>
        </w:rPr>
        <w:t xml:space="preserve"> (</w:t>
      </w:r>
      <w:r w:rsidRPr="00C233FB">
        <w:rPr>
          <w:rFonts w:cs="Times New Roman (Tekst podstawo"/>
          <w:i/>
          <w:spacing w:val="-4"/>
          <w:lang w:val="en-US"/>
        </w:rPr>
        <w:t>T. gondii</w:t>
      </w:r>
      <w:r w:rsidRPr="00C233FB">
        <w:rPr>
          <w:rFonts w:cs="Times New Roman (Tekst podstawo"/>
          <w:spacing w:val="-4"/>
          <w:lang w:val="en-US"/>
        </w:rPr>
        <w:t xml:space="preserve">), which is an etiological agent of toxoplasmosis, a disease dangerous for immunocompromised individuals and developing fetuses. </w:t>
      </w:r>
      <w:r w:rsidRPr="00C233FB">
        <w:rPr>
          <w:rFonts w:cs="Times New Roman (Tekst podstawo"/>
          <w:i/>
          <w:spacing w:val="-4"/>
          <w:lang w:val="en-US"/>
        </w:rPr>
        <w:t>T. gondii</w:t>
      </w:r>
      <w:r w:rsidRPr="00C233FB">
        <w:rPr>
          <w:rFonts w:cs="Times New Roman (Tekst podstawo"/>
          <w:spacing w:val="-4"/>
          <w:lang w:val="en-US"/>
        </w:rPr>
        <w:t xml:space="preserve"> infections are also </w:t>
      </w:r>
      <w:r>
        <w:rPr>
          <w:rFonts w:cs="Times New Roman (Tekst podstawo"/>
          <w:spacing w:val="-4"/>
          <w:lang w:val="en-US"/>
        </w:rPr>
        <w:br/>
      </w:r>
      <w:r w:rsidRPr="00C233FB">
        <w:rPr>
          <w:rFonts w:cs="Times New Roman (Tekst podstawo"/>
          <w:spacing w:val="-4"/>
          <w:lang w:val="en-US"/>
        </w:rPr>
        <w:t xml:space="preserve">a problem in livestock, especially for sheep and pigs, and cause large financial and reproductive losses. The lack of vaccine for humans and also reported increasing resistance of </w:t>
      </w:r>
      <w:r w:rsidRPr="00C233FB">
        <w:rPr>
          <w:rFonts w:cs="Times New Roman (Tekst podstawo"/>
          <w:i/>
          <w:spacing w:val="-4"/>
          <w:lang w:val="en-US"/>
        </w:rPr>
        <w:t>T. gondii</w:t>
      </w:r>
      <w:r w:rsidRPr="00C233FB">
        <w:rPr>
          <w:rFonts w:cs="Times New Roman (Tekst podstawo"/>
          <w:spacing w:val="-4"/>
          <w:lang w:val="en-US"/>
        </w:rPr>
        <w:t xml:space="preserve"> to drugs have become a challenge for numerous research centers that look for vaccine</w:t>
      </w:r>
      <w:r>
        <w:rPr>
          <w:rFonts w:cs="Times New Roman (Tekst podstawo"/>
          <w:spacing w:val="-4"/>
          <w:lang w:val="en-US"/>
        </w:rPr>
        <w:t>s</w:t>
      </w:r>
      <w:r w:rsidRPr="00C233FB">
        <w:rPr>
          <w:rFonts w:cs="Times New Roman (Tekst podstawo"/>
          <w:spacing w:val="-4"/>
          <w:lang w:val="en-US"/>
        </w:rPr>
        <w:t xml:space="preserve"> and compounds with properties against </w:t>
      </w:r>
      <w:r w:rsidRPr="00C233FB">
        <w:rPr>
          <w:rFonts w:cs="Times New Roman (Tekst podstawo"/>
          <w:i/>
          <w:spacing w:val="-4"/>
          <w:lang w:val="en-US"/>
        </w:rPr>
        <w:t>Toxoplasma</w:t>
      </w:r>
      <w:r w:rsidRPr="00C233FB">
        <w:rPr>
          <w:rFonts w:cs="Times New Roman (Tekst podstawo"/>
          <w:spacing w:val="-4"/>
          <w:lang w:val="en-US"/>
        </w:rPr>
        <w:t xml:space="preserve">. The high selectivity of the compounds towards the protozoa with the simultaneous low cytotoxicity towards the host cells, were the basis for further research aimed </w:t>
      </w:r>
      <w:r>
        <w:rPr>
          <w:rFonts w:cs="Times New Roman (Tekst podstawo"/>
          <w:spacing w:val="-4"/>
          <w:lang w:val="en-US"/>
        </w:rPr>
        <w:br/>
      </w:r>
      <w:r w:rsidRPr="00C233FB">
        <w:rPr>
          <w:rFonts w:cs="Times New Roman (Tekst podstawo"/>
          <w:spacing w:val="-4"/>
          <w:lang w:val="en-US"/>
        </w:rPr>
        <w:t xml:space="preserve">at determining the molecular target for the active compounds. The initial </w:t>
      </w:r>
      <w:r>
        <w:rPr>
          <w:rFonts w:cs="Times New Roman (Tekst podstawo"/>
          <w:spacing w:val="-4"/>
          <w:lang w:val="en-US"/>
        </w:rPr>
        <w:t>screening</w:t>
      </w:r>
      <w:r w:rsidRPr="00C233FB">
        <w:rPr>
          <w:rFonts w:cs="Times New Roman (Tekst podstawo"/>
          <w:spacing w:val="-4"/>
          <w:lang w:val="en-US"/>
        </w:rPr>
        <w:t xml:space="preserve"> </w:t>
      </w:r>
      <w:r>
        <w:rPr>
          <w:rFonts w:cs="Times New Roman (Tekst podstawo"/>
          <w:spacing w:val="-4"/>
          <w:lang w:val="en-US"/>
        </w:rPr>
        <w:br/>
      </w:r>
      <w:r w:rsidRPr="00C233FB">
        <w:rPr>
          <w:rFonts w:cs="Times New Roman (Tekst podstawo"/>
          <w:spacing w:val="-4"/>
          <w:lang w:val="en-US"/>
        </w:rPr>
        <w:t xml:space="preserve">of 143 new compounds that are derivatives of: thiosemicarbazide, thiazole, thiadiazole, benzothiophene, thiazolidinone and the R enantiomer of thalidomide, in terms of their activity against </w:t>
      </w:r>
      <w:r w:rsidRPr="00C233FB">
        <w:rPr>
          <w:rFonts w:cs="Times New Roman (Tekst podstawo"/>
          <w:i/>
          <w:spacing w:val="-4"/>
          <w:lang w:val="en-US"/>
        </w:rPr>
        <w:t>T. gondii</w:t>
      </w:r>
      <w:r w:rsidRPr="00C233FB">
        <w:rPr>
          <w:rFonts w:cs="Times New Roman (Tekst podstawo"/>
          <w:spacing w:val="-4"/>
          <w:lang w:val="en-US"/>
        </w:rPr>
        <w:t xml:space="preserve"> and selectivity, enabled the selection of 4-arylthiosemicarbazide derivatives for further studies. </w:t>
      </w:r>
      <w:r>
        <w:rPr>
          <w:rFonts w:cs="Times New Roman (Tekst podstawo"/>
          <w:spacing w:val="-4"/>
          <w:lang w:val="en-US"/>
        </w:rPr>
        <w:t xml:space="preserve">Since </w:t>
      </w:r>
      <w:r w:rsidRPr="00C233FB">
        <w:rPr>
          <w:rFonts w:cs="Times New Roman (Tekst podstawo"/>
          <w:spacing w:val="-4"/>
          <w:lang w:val="en-US"/>
        </w:rPr>
        <w:t xml:space="preserve">the parasite is an auxotroph </w:t>
      </w:r>
      <w:r>
        <w:rPr>
          <w:rFonts w:cs="Times New Roman (Tekst podstawo"/>
          <w:spacing w:val="-4"/>
          <w:lang w:val="en-US"/>
        </w:rPr>
        <w:t xml:space="preserve">towards </w:t>
      </w:r>
      <w:r w:rsidRPr="00C233FB">
        <w:rPr>
          <w:rFonts w:cs="Times New Roman (Tekst podstawo"/>
          <w:spacing w:val="-4"/>
          <w:lang w:val="en-US"/>
        </w:rPr>
        <w:t xml:space="preserve">Tyr, Phe and </w:t>
      </w:r>
      <w:proofErr w:type="spellStart"/>
      <w:r w:rsidRPr="00C233FB">
        <w:rPr>
          <w:rFonts w:cs="Times New Roman (Tekst podstawo"/>
          <w:spacing w:val="-4"/>
          <w:lang w:val="en-US"/>
        </w:rPr>
        <w:t>Trp</w:t>
      </w:r>
      <w:proofErr w:type="spellEnd"/>
      <w:r>
        <w:rPr>
          <w:rFonts w:cs="Times New Roman (Tekst podstawo"/>
          <w:spacing w:val="-4"/>
          <w:lang w:val="en-US"/>
        </w:rPr>
        <w:t>, e</w:t>
      </w:r>
      <w:r w:rsidRPr="00C233FB">
        <w:rPr>
          <w:rFonts w:cs="Times New Roman (Tekst podstawo"/>
          <w:spacing w:val="-4"/>
          <w:lang w:val="en-US"/>
        </w:rPr>
        <w:t>nzymes responsible for the conversion of</w:t>
      </w:r>
      <w:r>
        <w:rPr>
          <w:rFonts w:cs="Times New Roman (Tekst podstawo"/>
          <w:spacing w:val="-4"/>
          <w:lang w:val="en-US"/>
        </w:rPr>
        <w:t xml:space="preserve"> these</w:t>
      </w:r>
      <w:r w:rsidRPr="00C233FB">
        <w:rPr>
          <w:rFonts w:cs="Times New Roman (Tekst podstawo"/>
          <w:spacing w:val="-4"/>
          <w:lang w:val="en-US"/>
        </w:rPr>
        <w:t xml:space="preserve"> aromatic amino acids</w:t>
      </w:r>
      <w:r>
        <w:rPr>
          <w:rFonts w:cs="Times New Roman (Tekst podstawo"/>
          <w:spacing w:val="-4"/>
          <w:lang w:val="en-US"/>
        </w:rPr>
        <w:t>, were</w:t>
      </w:r>
      <w:r w:rsidRPr="00C233FB">
        <w:rPr>
          <w:rFonts w:cs="Times New Roman (Tekst podstawo"/>
          <w:spacing w:val="-4"/>
          <w:lang w:val="en-US"/>
        </w:rPr>
        <w:t xml:space="preserve"> indicated </w:t>
      </w:r>
      <w:r>
        <w:rPr>
          <w:rFonts w:cs="Times New Roman (Tekst podstawo"/>
          <w:spacing w:val="-4"/>
          <w:lang w:val="en-US"/>
        </w:rPr>
        <w:t>a</w:t>
      </w:r>
      <w:r w:rsidRPr="00C233FB">
        <w:rPr>
          <w:rFonts w:cs="Times New Roman (Tekst podstawo"/>
          <w:spacing w:val="-4"/>
          <w:lang w:val="en-US"/>
        </w:rPr>
        <w:t>s potential molecular targets for</w:t>
      </w:r>
      <w:r>
        <w:rPr>
          <w:rFonts w:cs="Times New Roman (Tekst podstawo"/>
          <w:spacing w:val="-4"/>
          <w:lang w:val="en-US"/>
        </w:rPr>
        <w:t xml:space="preserve"> selected</w:t>
      </w:r>
      <w:r w:rsidRPr="00C233FB">
        <w:rPr>
          <w:rFonts w:cs="Times New Roman (Tekst podstawo"/>
          <w:spacing w:val="-4"/>
          <w:lang w:val="en-US"/>
        </w:rPr>
        <w:t xml:space="preserve"> </w:t>
      </w:r>
      <w:r>
        <w:rPr>
          <w:rFonts w:cs="Times New Roman (Tekst podstawo"/>
          <w:spacing w:val="-4"/>
          <w:lang w:val="en-US"/>
        </w:rPr>
        <w:br/>
      </w:r>
      <w:r w:rsidRPr="00C233FB">
        <w:rPr>
          <w:rFonts w:cs="Times New Roman (Tekst podstawo"/>
          <w:spacing w:val="-4"/>
          <w:lang w:val="en-US"/>
        </w:rPr>
        <w:t xml:space="preserve">4-arylthiosemicarbazide derivatives. One of the amino acids essential </w:t>
      </w:r>
      <w:r>
        <w:rPr>
          <w:rFonts w:cs="Times New Roman (Tekst podstawo"/>
          <w:spacing w:val="-4"/>
          <w:lang w:val="en-US"/>
        </w:rPr>
        <w:t xml:space="preserve">for </w:t>
      </w:r>
      <w:r w:rsidRPr="00C233FB">
        <w:rPr>
          <w:rFonts w:cs="Times New Roman (Tekst podstawo"/>
          <w:spacing w:val="-4"/>
          <w:lang w:val="en-US"/>
        </w:rPr>
        <w:t xml:space="preserve">the formation </w:t>
      </w:r>
      <w:r>
        <w:rPr>
          <w:rFonts w:cs="Times New Roman (Tekst podstawo"/>
          <w:spacing w:val="-4"/>
          <w:lang w:val="en-US"/>
        </w:rPr>
        <w:br/>
      </w:r>
      <w:r w:rsidRPr="00C233FB">
        <w:rPr>
          <w:rFonts w:cs="Times New Roman (Tekst podstawo"/>
          <w:spacing w:val="-4"/>
          <w:lang w:val="en-US"/>
        </w:rPr>
        <w:t>of parasit</w:t>
      </w:r>
      <w:r>
        <w:rPr>
          <w:rFonts w:cs="Times New Roman (Tekst podstawo"/>
          <w:spacing w:val="-4"/>
          <w:lang w:val="en-US"/>
        </w:rPr>
        <w:t>ophorous v</w:t>
      </w:r>
      <w:r w:rsidRPr="00C233FB">
        <w:rPr>
          <w:rFonts w:cs="Times New Roman (Tekst podstawo"/>
          <w:spacing w:val="-4"/>
          <w:lang w:val="en-US"/>
        </w:rPr>
        <w:t xml:space="preserve">acuole </w:t>
      </w:r>
      <w:r>
        <w:rPr>
          <w:rFonts w:cs="Times New Roman (Tekst podstawo"/>
          <w:spacing w:val="-4"/>
          <w:lang w:val="en-US"/>
        </w:rPr>
        <w:t xml:space="preserve">and </w:t>
      </w:r>
      <w:r w:rsidRPr="00C233FB">
        <w:rPr>
          <w:rFonts w:cs="Times New Roman (Tekst podstawo"/>
          <w:spacing w:val="-4"/>
          <w:lang w:val="en-US"/>
        </w:rPr>
        <w:t>tachyzoites</w:t>
      </w:r>
      <w:r>
        <w:rPr>
          <w:rFonts w:cs="Times New Roman (Tekst podstawo"/>
          <w:spacing w:val="-4"/>
          <w:lang w:val="en-US"/>
        </w:rPr>
        <w:t xml:space="preserve"> division</w:t>
      </w:r>
      <w:r w:rsidRPr="00C233FB">
        <w:rPr>
          <w:rFonts w:cs="Times New Roman (Tekst podstawo"/>
          <w:spacing w:val="-4"/>
          <w:lang w:val="en-US"/>
        </w:rPr>
        <w:t xml:space="preserve"> is </w:t>
      </w:r>
      <w:r>
        <w:rPr>
          <w:rFonts w:cs="Times New Roman (Tekst podstawo"/>
          <w:spacing w:val="-4"/>
          <w:lang w:val="en-US"/>
        </w:rPr>
        <w:t>Tyr</w:t>
      </w:r>
      <w:r w:rsidRPr="00C233FB">
        <w:rPr>
          <w:rFonts w:cs="Times New Roman (Tekst podstawo"/>
          <w:spacing w:val="-4"/>
          <w:lang w:val="en-US"/>
        </w:rPr>
        <w:t xml:space="preserve">, which is converted by two unique aromatic amino acid hydroxylases (AAH1 and AAH2) to levodopa. </w:t>
      </w:r>
      <w:r>
        <w:rPr>
          <w:rFonts w:cs="Times New Roman (Tekst podstawo"/>
          <w:spacing w:val="-4"/>
          <w:lang w:val="en-US"/>
        </w:rPr>
        <w:t>E</w:t>
      </w:r>
      <w:r w:rsidRPr="006625DA">
        <w:rPr>
          <w:rFonts w:cs="Times New Roman (Tekst podstawo"/>
          <w:spacing w:val="-4"/>
          <w:lang w:val="en-US"/>
        </w:rPr>
        <w:t>nzymatic studies and the drug affinity responsive target stability assay confirmed the inhibition of recombinant</w:t>
      </w:r>
      <w:r w:rsidRPr="00C233FB">
        <w:rPr>
          <w:rFonts w:cs="Times New Roman (Tekst podstawo"/>
          <w:spacing w:val="-4"/>
          <w:lang w:val="en-US"/>
        </w:rPr>
        <w:t xml:space="preserve"> AAH1 and AAH2</w:t>
      </w:r>
      <w:r>
        <w:rPr>
          <w:rFonts w:cs="Times New Roman (Tekst podstawo"/>
          <w:spacing w:val="-4"/>
          <w:lang w:val="en-US"/>
        </w:rPr>
        <w:t xml:space="preserve">, </w:t>
      </w:r>
      <w:r w:rsidRPr="006625DA">
        <w:rPr>
          <w:rFonts w:cs="Times New Roman (Tekst podstawo"/>
          <w:spacing w:val="-4"/>
          <w:lang w:val="en-US"/>
        </w:rPr>
        <w:t xml:space="preserve">obtained in the </w:t>
      </w:r>
      <w:r w:rsidRPr="006625DA">
        <w:rPr>
          <w:rFonts w:cs="Times New Roman (Tekst podstawo"/>
          <w:i/>
          <w:spacing w:val="-4"/>
          <w:lang w:val="en-US"/>
        </w:rPr>
        <w:t>E</w:t>
      </w:r>
      <w:r>
        <w:rPr>
          <w:rFonts w:cs="Times New Roman (Tekst podstawo"/>
          <w:i/>
          <w:spacing w:val="-4"/>
          <w:lang w:val="en-US"/>
        </w:rPr>
        <w:t>scherichia</w:t>
      </w:r>
      <w:r w:rsidRPr="006625DA">
        <w:rPr>
          <w:rFonts w:cs="Times New Roman (Tekst podstawo"/>
          <w:i/>
          <w:spacing w:val="-4"/>
          <w:lang w:val="en-US"/>
        </w:rPr>
        <w:t xml:space="preserve"> coli</w:t>
      </w:r>
      <w:r w:rsidRPr="006625DA">
        <w:rPr>
          <w:rFonts w:cs="Times New Roman (Tekst podstawo"/>
          <w:spacing w:val="-4"/>
          <w:lang w:val="en-US"/>
        </w:rPr>
        <w:t xml:space="preserve"> expression system</w:t>
      </w:r>
      <w:r>
        <w:rPr>
          <w:rFonts w:cs="Times New Roman (Tekst podstawo"/>
          <w:spacing w:val="-4"/>
          <w:lang w:val="en-US"/>
        </w:rPr>
        <w:t xml:space="preserve">, </w:t>
      </w:r>
      <w:r w:rsidRPr="006625DA">
        <w:rPr>
          <w:rFonts w:cs="Times New Roman (Tekst podstawo"/>
          <w:spacing w:val="-4"/>
          <w:lang w:val="en-US"/>
        </w:rPr>
        <w:t>by</w:t>
      </w:r>
      <w:r>
        <w:rPr>
          <w:rFonts w:cs="Times New Roman (Tekst podstawo"/>
          <w:spacing w:val="-4"/>
          <w:lang w:val="en-US"/>
        </w:rPr>
        <w:t xml:space="preserve"> two</w:t>
      </w:r>
      <w:r w:rsidRPr="006625DA">
        <w:rPr>
          <w:rFonts w:cs="Times New Roman (Tekst podstawo"/>
          <w:spacing w:val="-4"/>
          <w:lang w:val="en-US"/>
        </w:rPr>
        <w:t xml:space="preserve"> selected</w:t>
      </w:r>
      <w:r w:rsidRPr="00C233FB">
        <w:rPr>
          <w:rFonts w:cs="Times New Roman (Tekst podstawo"/>
          <w:spacing w:val="-4"/>
          <w:lang w:val="en-US"/>
        </w:rPr>
        <w:t xml:space="preserve"> 4-arylthiosemicarbazide derivatives with</w:t>
      </w:r>
      <w:r>
        <w:rPr>
          <w:rFonts w:cs="Times New Roman (Tekst podstawo"/>
          <w:spacing w:val="-4"/>
          <w:lang w:val="en-US"/>
        </w:rPr>
        <w:br/>
      </w:r>
      <w:bookmarkStart w:id="2" w:name="_GoBack"/>
      <w:bookmarkEnd w:id="2"/>
      <w:r w:rsidRPr="00C233FB">
        <w:rPr>
          <w:rFonts w:cs="Times New Roman (Tekst podstawo"/>
          <w:spacing w:val="-4"/>
          <w:lang w:val="en-US"/>
        </w:rPr>
        <w:t>a 4-nitrophenyl (</w:t>
      </w:r>
      <w:r w:rsidRPr="006625DA">
        <w:rPr>
          <w:rFonts w:cs="Times New Roman (Tekst podstawo"/>
          <w:b/>
          <w:spacing w:val="-4"/>
          <w:lang w:val="en-US"/>
        </w:rPr>
        <w:t>2a</w:t>
      </w:r>
      <w:r w:rsidRPr="00C233FB">
        <w:rPr>
          <w:rFonts w:cs="Times New Roman (Tekst podstawo"/>
          <w:spacing w:val="-4"/>
          <w:lang w:val="en-US"/>
        </w:rPr>
        <w:t>) or 3-iodophenyl (</w:t>
      </w:r>
      <w:r w:rsidRPr="006625DA">
        <w:rPr>
          <w:rFonts w:cs="Times New Roman (Tekst podstawo"/>
          <w:b/>
          <w:spacing w:val="-4"/>
          <w:lang w:val="en-US"/>
        </w:rPr>
        <w:t>6a</w:t>
      </w:r>
      <w:r w:rsidRPr="00C233FB">
        <w:rPr>
          <w:rFonts w:cs="Times New Roman (Tekst podstawo"/>
          <w:spacing w:val="-4"/>
          <w:lang w:val="en-US"/>
        </w:rPr>
        <w:t xml:space="preserve">) substituent. On the other hand, </w:t>
      </w:r>
      <w:r w:rsidRPr="006625DA">
        <w:rPr>
          <w:rFonts w:cs="Times New Roman (Tekst podstawo"/>
          <w:i/>
          <w:spacing w:val="-4"/>
          <w:lang w:val="en-US"/>
        </w:rPr>
        <w:t>in vivo</w:t>
      </w:r>
      <w:r w:rsidRPr="00C233FB">
        <w:rPr>
          <w:rFonts w:cs="Times New Roman (Tekst podstawo"/>
          <w:spacing w:val="-4"/>
          <w:lang w:val="en-US"/>
        </w:rPr>
        <w:t xml:space="preserve"> studies with female mice of the BALB/c strain confirmed the lack of toxicity</w:t>
      </w:r>
      <w:r>
        <w:rPr>
          <w:rFonts w:cs="Times New Roman (Tekst podstawo"/>
          <w:spacing w:val="-4"/>
          <w:lang w:val="en-US"/>
        </w:rPr>
        <w:t xml:space="preserve"> of tested compounds and</w:t>
      </w:r>
      <w:r w:rsidRPr="00C233FB">
        <w:rPr>
          <w:rFonts w:cs="Times New Roman (Tekst podstawo"/>
          <w:spacing w:val="-4"/>
          <w:lang w:val="en-US"/>
        </w:rPr>
        <w:t xml:space="preserve"> the</w:t>
      </w:r>
      <w:r>
        <w:rPr>
          <w:rFonts w:cs="Times New Roman (Tekst podstawo"/>
          <w:spacing w:val="-4"/>
          <w:lang w:val="en-US"/>
        </w:rPr>
        <w:t>ir</w:t>
      </w:r>
      <w:r w:rsidRPr="00C233FB">
        <w:rPr>
          <w:rFonts w:cs="Times New Roman (Tekst podstawo"/>
          <w:spacing w:val="-4"/>
          <w:lang w:val="en-US"/>
        </w:rPr>
        <w:t xml:space="preserve"> maximum tolerated dose </w:t>
      </w:r>
      <w:r>
        <w:rPr>
          <w:rFonts w:cs="Times New Roman (Tekst podstawo"/>
          <w:spacing w:val="-4"/>
          <w:lang w:val="en-US"/>
        </w:rPr>
        <w:t>was higher than</w:t>
      </w:r>
      <w:r w:rsidRPr="00C233FB">
        <w:rPr>
          <w:rFonts w:cs="Times New Roman (Tekst podstawo"/>
          <w:spacing w:val="-4"/>
          <w:lang w:val="en-US"/>
        </w:rPr>
        <w:t xml:space="preserve"> 1000 mg/kg</w:t>
      </w:r>
      <w:r>
        <w:rPr>
          <w:rFonts w:cs="Times New Roman (Tekst podstawo"/>
          <w:spacing w:val="-4"/>
          <w:lang w:val="en-US"/>
        </w:rPr>
        <w:t>.</w:t>
      </w:r>
      <w:r w:rsidRPr="00C233FB">
        <w:rPr>
          <w:rFonts w:cs="Times New Roman (Tekst podstawo"/>
          <w:spacing w:val="-4"/>
          <w:lang w:val="en-US"/>
        </w:rPr>
        <w:t xml:space="preserve"> The </w:t>
      </w:r>
      <w:r>
        <w:rPr>
          <w:rFonts w:cs="Times New Roman (Tekst podstawo"/>
          <w:spacing w:val="-4"/>
          <w:lang w:val="en-US"/>
        </w:rPr>
        <w:t>used</w:t>
      </w:r>
      <w:r w:rsidRPr="00C233FB">
        <w:rPr>
          <w:rFonts w:cs="Times New Roman (Tekst podstawo"/>
          <w:spacing w:val="-4"/>
          <w:lang w:val="en-US"/>
        </w:rPr>
        <w:t xml:space="preserve"> therapy did not cause a significant increase in the level of liver enzymes or creatinine, an</w:t>
      </w:r>
      <w:r>
        <w:rPr>
          <w:rFonts w:cs="Times New Roman (Tekst podstawo"/>
          <w:spacing w:val="-4"/>
          <w:lang w:val="en-US"/>
        </w:rPr>
        <w:t>d</w:t>
      </w:r>
      <w:r w:rsidRPr="00C233FB">
        <w:rPr>
          <w:rFonts w:cs="Times New Roman (Tekst podstawo"/>
          <w:spacing w:val="-4"/>
          <w:lang w:val="en-US"/>
        </w:rPr>
        <w:t xml:space="preserve"> pharmacokinetic analysis of selected derivatives confirmed that the compounds </w:t>
      </w:r>
      <w:r w:rsidRPr="006625DA">
        <w:rPr>
          <w:rFonts w:cs="Times New Roman (Tekst podstawo"/>
          <w:spacing w:val="-4"/>
          <w:lang w:val="en-US"/>
        </w:rPr>
        <w:t>pass into the bloodstream and cross the blood–brain barrier</w:t>
      </w:r>
      <w:r w:rsidRPr="00C233FB">
        <w:rPr>
          <w:rFonts w:cs="Times New Roman (Tekst podstawo"/>
          <w:spacing w:val="-4"/>
          <w:lang w:val="en-US"/>
        </w:rPr>
        <w:t xml:space="preserve">. Derivatives </w:t>
      </w:r>
      <w:r w:rsidRPr="006625DA">
        <w:rPr>
          <w:rFonts w:cs="Times New Roman (Tekst podstawo"/>
          <w:b/>
          <w:spacing w:val="-4"/>
          <w:lang w:val="en-US"/>
        </w:rPr>
        <w:t>2a</w:t>
      </w:r>
      <w:r w:rsidRPr="00C233FB">
        <w:rPr>
          <w:rFonts w:cs="Times New Roman (Tekst podstawo"/>
          <w:spacing w:val="-4"/>
          <w:lang w:val="en-US"/>
        </w:rPr>
        <w:t xml:space="preserve"> and </w:t>
      </w:r>
      <w:r w:rsidRPr="006625DA">
        <w:rPr>
          <w:rFonts w:cs="Times New Roman (Tekst podstawo"/>
          <w:b/>
          <w:spacing w:val="-4"/>
          <w:lang w:val="en-US"/>
        </w:rPr>
        <w:t>6a</w:t>
      </w:r>
      <w:r w:rsidRPr="00C233FB">
        <w:rPr>
          <w:rFonts w:cs="Times New Roman (Tekst podstawo"/>
          <w:spacing w:val="-4"/>
          <w:lang w:val="en-US"/>
        </w:rPr>
        <w:t xml:space="preserve"> showed significant antiparasitic activity</w:t>
      </w:r>
      <w:r w:rsidRPr="001A604A">
        <w:rPr>
          <w:rFonts w:cs="Times New Roman (Tekst podstawo"/>
          <w:spacing w:val="-4"/>
          <w:lang w:val="en-US"/>
        </w:rPr>
        <w:t xml:space="preserve"> </w:t>
      </w:r>
      <w:r>
        <w:rPr>
          <w:rFonts w:cs="Times New Roman (Tekst podstawo"/>
          <w:spacing w:val="-4"/>
          <w:lang w:val="en-US"/>
        </w:rPr>
        <w:t xml:space="preserve">characterized by prolonged survival of RH </w:t>
      </w:r>
      <w:r w:rsidRPr="001A604A">
        <w:rPr>
          <w:rFonts w:cs="Times New Roman (Tekst podstawo"/>
          <w:spacing w:val="-4"/>
          <w:lang w:val="en-US"/>
        </w:rPr>
        <w:t xml:space="preserve">infected mice </w:t>
      </w:r>
      <w:r w:rsidRPr="00C233FB">
        <w:rPr>
          <w:rFonts w:cs="Times New Roman (Tekst podstawo"/>
          <w:spacing w:val="-4"/>
          <w:lang w:val="en-US"/>
        </w:rPr>
        <w:t>and</w:t>
      </w:r>
      <w:r>
        <w:rPr>
          <w:rFonts w:cs="Times New Roman (Tekst podstawo"/>
          <w:spacing w:val="-4"/>
          <w:lang w:val="en-US"/>
        </w:rPr>
        <w:t xml:space="preserve"> </w:t>
      </w:r>
      <w:r w:rsidRPr="00C233FB">
        <w:rPr>
          <w:rFonts w:cs="Times New Roman (Tekst podstawo"/>
          <w:spacing w:val="-4"/>
          <w:lang w:val="en-US"/>
        </w:rPr>
        <w:t>reduct</w:t>
      </w:r>
      <w:r>
        <w:rPr>
          <w:rFonts w:cs="Times New Roman (Tekst podstawo"/>
          <w:spacing w:val="-4"/>
          <w:lang w:val="en-US"/>
        </w:rPr>
        <w:t>ion of</w:t>
      </w:r>
      <w:r w:rsidRPr="00C233FB">
        <w:rPr>
          <w:rFonts w:cs="Times New Roman (Tekst podstawo"/>
          <w:spacing w:val="-4"/>
          <w:lang w:val="en-US"/>
        </w:rPr>
        <w:t xml:space="preserve"> tissue cysts </w:t>
      </w:r>
      <w:r>
        <w:rPr>
          <w:rFonts w:cs="Times New Roman (Tekst podstawo"/>
          <w:spacing w:val="-4"/>
          <w:lang w:val="en-US"/>
        </w:rPr>
        <w:t xml:space="preserve">burden </w:t>
      </w:r>
      <w:r w:rsidRPr="00C233FB">
        <w:rPr>
          <w:rFonts w:cs="Times New Roman (Tekst podstawo"/>
          <w:spacing w:val="-4"/>
          <w:lang w:val="en-US"/>
        </w:rPr>
        <w:t>in brain, heart and muscles</w:t>
      </w:r>
      <w:r w:rsidRPr="001A604A">
        <w:rPr>
          <w:rFonts w:cs="Times New Roman (Tekst podstawo"/>
          <w:spacing w:val="-4"/>
          <w:lang w:val="en-US"/>
        </w:rPr>
        <w:t xml:space="preserve"> </w:t>
      </w:r>
      <w:r>
        <w:rPr>
          <w:rFonts w:cs="Times New Roman (Tekst podstawo"/>
          <w:spacing w:val="-4"/>
          <w:lang w:val="en-US"/>
        </w:rPr>
        <w:t xml:space="preserve">of DX </w:t>
      </w:r>
      <w:r w:rsidRPr="00C233FB">
        <w:rPr>
          <w:rFonts w:cs="Times New Roman (Tekst podstawo"/>
          <w:spacing w:val="-4"/>
          <w:lang w:val="en-US"/>
        </w:rPr>
        <w:t>infected mice. Moreover, the</w:t>
      </w:r>
      <w:r w:rsidRPr="001A604A">
        <w:rPr>
          <w:rFonts w:cs="Times New Roman (Tekst podstawo"/>
          <w:spacing w:val="-4"/>
          <w:lang w:val="en-US"/>
        </w:rPr>
        <w:t xml:space="preserve"> wide biological activity of thiosemicarbazide derivatives was confirmed again </w:t>
      </w:r>
      <w:r>
        <w:rPr>
          <w:rFonts w:cs="Times New Roman (Tekst podstawo"/>
          <w:spacing w:val="-4"/>
          <w:lang w:val="en-US"/>
        </w:rPr>
        <w:t>since</w:t>
      </w:r>
      <w:r w:rsidRPr="001A604A">
        <w:rPr>
          <w:rFonts w:cs="Times New Roman (Tekst podstawo"/>
          <w:spacing w:val="-4"/>
          <w:lang w:val="en-US"/>
        </w:rPr>
        <w:t xml:space="preserve"> </w:t>
      </w:r>
      <w:r w:rsidRPr="00C233FB">
        <w:rPr>
          <w:rFonts w:cs="Times New Roman (Tekst podstawo"/>
          <w:spacing w:val="-4"/>
          <w:lang w:val="en-US"/>
        </w:rPr>
        <w:t>4-arylthiosemicarbazide derivatives</w:t>
      </w:r>
      <w:r w:rsidRPr="001A604A">
        <w:rPr>
          <w:rFonts w:cs="Times New Roman (Tekst podstawo"/>
          <w:spacing w:val="-4"/>
          <w:lang w:val="en-US"/>
        </w:rPr>
        <w:t xml:space="preserve"> also possess anti-inflammatory activity </w:t>
      </w:r>
      <w:r>
        <w:rPr>
          <w:rFonts w:cs="Times New Roman (Tekst podstawo"/>
          <w:spacing w:val="-4"/>
          <w:lang w:val="en-US"/>
        </w:rPr>
        <w:t xml:space="preserve">defined </w:t>
      </w:r>
      <w:r w:rsidRPr="001A604A">
        <w:rPr>
          <w:rFonts w:cs="Times New Roman (Tekst podstawo"/>
          <w:spacing w:val="-4"/>
          <w:lang w:val="en-US"/>
        </w:rPr>
        <w:t>by</w:t>
      </w:r>
      <w:r>
        <w:rPr>
          <w:rFonts w:cs="Times New Roman (Tekst podstawo"/>
          <w:spacing w:val="-4"/>
          <w:lang w:val="en-US"/>
        </w:rPr>
        <w:t xml:space="preserve"> their ability to </w:t>
      </w:r>
      <w:r w:rsidRPr="001A604A">
        <w:rPr>
          <w:rFonts w:cs="Times New Roman (Tekst podstawo"/>
          <w:spacing w:val="-4"/>
          <w:lang w:val="en-US"/>
        </w:rPr>
        <w:t>block NF-κB pathway in human monocytes</w:t>
      </w:r>
      <w:r>
        <w:rPr>
          <w:rFonts w:cs="Times New Roman (Tekst podstawo"/>
          <w:spacing w:val="-4"/>
          <w:lang w:val="en-US"/>
        </w:rPr>
        <w:t xml:space="preserve">. </w:t>
      </w:r>
      <w:r w:rsidRPr="00C233FB">
        <w:rPr>
          <w:rFonts w:cs="Times New Roman (Tekst podstawo"/>
          <w:spacing w:val="-4"/>
          <w:lang w:val="en-US"/>
        </w:rPr>
        <w:t xml:space="preserve">The obtained results </w:t>
      </w:r>
      <w:r>
        <w:rPr>
          <w:rFonts w:cs="Times New Roman (Tekst podstawo"/>
          <w:spacing w:val="-4"/>
          <w:lang w:val="en-US"/>
        </w:rPr>
        <w:t>showed</w:t>
      </w:r>
      <w:r w:rsidRPr="00C233FB">
        <w:rPr>
          <w:rFonts w:cs="Times New Roman (Tekst podstawo"/>
          <w:spacing w:val="-4"/>
          <w:lang w:val="en-US"/>
        </w:rPr>
        <w:t xml:space="preserve"> for the first time the mechanism of action of two selected 4-arylthiosemicarbazide derivatives on </w:t>
      </w:r>
      <w:r w:rsidRPr="001A604A">
        <w:rPr>
          <w:rFonts w:cs="Times New Roman (Tekst podstawo"/>
          <w:i/>
          <w:spacing w:val="-4"/>
          <w:lang w:val="en-US"/>
        </w:rPr>
        <w:t>Toxoplasma godnii</w:t>
      </w:r>
      <w:r w:rsidRPr="00C233FB">
        <w:rPr>
          <w:rFonts w:cs="Times New Roman (Tekst podstawo"/>
          <w:spacing w:val="-4"/>
          <w:lang w:val="en-US"/>
        </w:rPr>
        <w:t xml:space="preserve"> and indicate these derivatives as compounds suitable for further stages of preclinical research.</w:t>
      </w:r>
    </w:p>
    <w:sectPr w:rsidR="004B6B68" w:rsidRPr="003A16C0" w:rsidSect="007455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Nagłówki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Tekst podstawo">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35EB"/>
    <w:multiLevelType w:val="multilevel"/>
    <w:tmpl w:val="286891D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C0"/>
    <w:rsid w:val="000037C4"/>
    <w:rsid w:val="00053C8C"/>
    <w:rsid w:val="00060A4C"/>
    <w:rsid w:val="00096BA0"/>
    <w:rsid w:val="000B0064"/>
    <w:rsid w:val="000C4FB8"/>
    <w:rsid w:val="00176D54"/>
    <w:rsid w:val="001806C2"/>
    <w:rsid w:val="001C1CC5"/>
    <w:rsid w:val="001D4A43"/>
    <w:rsid w:val="00201062"/>
    <w:rsid w:val="002508F9"/>
    <w:rsid w:val="002A2948"/>
    <w:rsid w:val="002B57DF"/>
    <w:rsid w:val="002B6C1D"/>
    <w:rsid w:val="0030469A"/>
    <w:rsid w:val="0032199B"/>
    <w:rsid w:val="0032236A"/>
    <w:rsid w:val="003A16C0"/>
    <w:rsid w:val="003D6E05"/>
    <w:rsid w:val="003F0D90"/>
    <w:rsid w:val="004622D4"/>
    <w:rsid w:val="00463761"/>
    <w:rsid w:val="00472747"/>
    <w:rsid w:val="00492401"/>
    <w:rsid w:val="004A34EB"/>
    <w:rsid w:val="004C57B3"/>
    <w:rsid w:val="004C75CA"/>
    <w:rsid w:val="004E4C0F"/>
    <w:rsid w:val="00517A9D"/>
    <w:rsid w:val="005228CA"/>
    <w:rsid w:val="00532ED7"/>
    <w:rsid w:val="00555A9D"/>
    <w:rsid w:val="00583BC5"/>
    <w:rsid w:val="00595A13"/>
    <w:rsid w:val="00745567"/>
    <w:rsid w:val="00756D9C"/>
    <w:rsid w:val="00774A7D"/>
    <w:rsid w:val="007B2E6A"/>
    <w:rsid w:val="007F7D20"/>
    <w:rsid w:val="008145C5"/>
    <w:rsid w:val="0082414A"/>
    <w:rsid w:val="008E78AF"/>
    <w:rsid w:val="00900A68"/>
    <w:rsid w:val="009300BA"/>
    <w:rsid w:val="00931BEF"/>
    <w:rsid w:val="009768B5"/>
    <w:rsid w:val="009C38C1"/>
    <w:rsid w:val="009C3D0D"/>
    <w:rsid w:val="009D4AE6"/>
    <w:rsid w:val="009E7AEF"/>
    <w:rsid w:val="00A32B0A"/>
    <w:rsid w:val="00A7011E"/>
    <w:rsid w:val="00A91FA1"/>
    <w:rsid w:val="00A96010"/>
    <w:rsid w:val="00AF2382"/>
    <w:rsid w:val="00B348C6"/>
    <w:rsid w:val="00B4382F"/>
    <w:rsid w:val="00B45B13"/>
    <w:rsid w:val="00B975E7"/>
    <w:rsid w:val="00C12BF8"/>
    <w:rsid w:val="00C45808"/>
    <w:rsid w:val="00CA4DD7"/>
    <w:rsid w:val="00CC1489"/>
    <w:rsid w:val="00CC74C7"/>
    <w:rsid w:val="00CE37C3"/>
    <w:rsid w:val="00D7638A"/>
    <w:rsid w:val="00D76E69"/>
    <w:rsid w:val="00D77342"/>
    <w:rsid w:val="00DC186C"/>
    <w:rsid w:val="00DD6673"/>
    <w:rsid w:val="00E70AD8"/>
    <w:rsid w:val="00E85429"/>
    <w:rsid w:val="00EA796A"/>
    <w:rsid w:val="00EE64D1"/>
    <w:rsid w:val="00EF1CA6"/>
    <w:rsid w:val="00F20BF0"/>
    <w:rsid w:val="00F30E69"/>
    <w:rsid w:val="00F66F3F"/>
    <w:rsid w:val="00F772AC"/>
    <w:rsid w:val="00F936F4"/>
    <w:rsid w:val="00F95917"/>
    <w:rsid w:val="00FD3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EAE5"/>
  <w15:chartTrackingRefBased/>
  <w15:docId w15:val="{8DBF500F-A716-FD4F-9E17-C9F1F57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3A16C0"/>
    <w:pPr>
      <w:spacing w:before="120" w:after="120" w:line="360" w:lineRule="auto"/>
      <w:jc w:val="both"/>
    </w:pPr>
    <w:rPr>
      <w:rFonts w:ascii="Palatino Linotype" w:hAnsi="Palatino Linotype"/>
      <w:sz w:val="21"/>
      <w:szCs w:val="22"/>
    </w:rPr>
  </w:style>
  <w:style w:type="paragraph" w:styleId="Nagwek1">
    <w:name w:val="heading 1"/>
    <w:basedOn w:val="Normalny"/>
    <w:next w:val="Nagwek2"/>
    <w:link w:val="Nagwek1Znak"/>
    <w:uiPriority w:val="9"/>
    <w:rsid w:val="003A16C0"/>
    <w:pPr>
      <w:keepNext/>
      <w:keepLines/>
      <w:numPr>
        <w:numId w:val="1"/>
      </w:numPr>
      <w:spacing w:before="240"/>
      <w:outlineLvl w:val="0"/>
    </w:pPr>
    <w:rPr>
      <w:rFonts w:eastAsiaTheme="majorEastAsia" w:cstheme="majorBidi"/>
      <w:b/>
      <w:color w:val="000000" w:themeColor="text1"/>
      <w:sz w:val="22"/>
      <w:szCs w:val="32"/>
    </w:rPr>
  </w:style>
  <w:style w:type="paragraph" w:styleId="Nagwek2">
    <w:name w:val="heading 2"/>
    <w:basedOn w:val="Nagwek1"/>
    <w:next w:val="Nagwek3"/>
    <w:link w:val="Nagwek2Znak"/>
    <w:uiPriority w:val="9"/>
    <w:unhideWhenUsed/>
    <w:rsid w:val="003A16C0"/>
    <w:pPr>
      <w:numPr>
        <w:ilvl w:val="1"/>
      </w:numPr>
      <w:spacing w:before="40" w:after="0"/>
      <w:ind w:left="862" w:hanging="578"/>
      <w:outlineLvl w:val="1"/>
    </w:pPr>
    <w:rPr>
      <w:color w:val="auto"/>
      <w:szCs w:val="26"/>
    </w:rPr>
  </w:style>
  <w:style w:type="paragraph" w:styleId="Nagwek3">
    <w:name w:val="heading 3"/>
    <w:basedOn w:val="Nagwek2"/>
    <w:next w:val="Normalny"/>
    <w:link w:val="Nagwek3Znak"/>
    <w:uiPriority w:val="9"/>
    <w:unhideWhenUsed/>
    <w:qFormat/>
    <w:rsid w:val="003A16C0"/>
    <w:pPr>
      <w:numPr>
        <w:ilvl w:val="2"/>
      </w:numPr>
      <w:ind w:left="1145"/>
      <w:outlineLvl w:val="2"/>
    </w:pPr>
    <w:rPr>
      <w:rFonts w:cs="Times New Roman (Nagłówki CS)"/>
      <w:spacing w:val="-12"/>
      <w:szCs w:val="24"/>
    </w:rPr>
  </w:style>
  <w:style w:type="paragraph" w:styleId="Nagwek4">
    <w:name w:val="heading 4"/>
    <w:basedOn w:val="Nagwek3"/>
    <w:next w:val="Normalny"/>
    <w:link w:val="Nagwek4Znak"/>
    <w:uiPriority w:val="9"/>
    <w:unhideWhenUsed/>
    <w:qFormat/>
    <w:rsid w:val="003A16C0"/>
    <w:pPr>
      <w:numPr>
        <w:ilvl w:val="3"/>
      </w:numPr>
      <w:ind w:left="1361" w:hanging="851"/>
      <w:outlineLvl w:val="3"/>
    </w:pPr>
    <w:rPr>
      <w:iCs/>
    </w:rPr>
  </w:style>
  <w:style w:type="paragraph" w:styleId="Nagwek5">
    <w:name w:val="heading 5"/>
    <w:basedOn w:val="Nagwek4"/>
    <w:next w:val="Normalny"/>
    <w:link w:val="Nagwek5Znak"/>
    <w:uiPriority w:val="9"/>
    <w:unhideWhenUsed/>
    <w:qFormat/>
    <w:rsid w:val="003A16C0"/>
    <w:pPr>
      <w:numPr>
        <w:ilvl w:val="4"/>
      </w:numPr>
      <w:ind w:left="1588" w:hanging="964"/>
      <w:outlineLvl w:val="4"/>
    </w:pPr>
    <w:rPr>
      <w:spacing w:val="-14"/>
    </w:rPr>
  </w:style>
  <w:style w:type="paragraph" w:styleId="Nagwek6">
    <w:name w:val="heading 6"/>
    <w:basedOn w:val="Normalny"/>
    <w:next w:val="Normalny"/>
    <w:link w:val="Nagwek6Znak"/>
    <w:uiPriority w:val="9"/>
    <w:semiHidden/>
    <w:unhideWhenUsed/>
    <w:qFormat/>
    <w:rsid w:val="003A16C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A16C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3A16C0"/>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Nagwek9">
    <w:name w:val="heading 9"/>
    <w:basedOn w:val="Normalny"/>
    <w:next w:val="Normalny"/>
    <w:link w:val="Nagwek9Znak"/>
    <w:uiPriority w:val="9"/>
    <w:semiHidden/>
    <w:unhideWhenUsed/>
    <w:qFormat/>
    <w:rsid w:val="003A16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16C0"/>
    <w:rPr>
      <w:rFonts w:ascii="Palatino Linotype" w:eastAsiaTheme="majorEastAsia" w:hAnsi="Palatino Linotype" w:cstheme="majorBidi"/>
      <w:b/>
      <w:color w:val="000000" w:themeColor="text1"/>
      <w:sz w:val="22"/>
      <w:szCs w:val="32"/>
    </w:rPr>
  </w:style>
  <w:style w:type="character" w:customStyle="1" w:styleId="Nagwek2Znak">
    <w:name w:val="Nagłówek 2 Znak"/>
    <w:basedOn w:val="Domylnaczcionkaakapitu"/>
    <w:link w:val="Nagwek2"/>
    <w:uiPriority w:val="9"/>
    <w:rsid w:val="003A16C0"/>
    <w:rPr>
      <w:rFonts w:ascii="Palatino Linotype" w:eastAsiaTheme="majorEastAsia" w:hAnsi="Palatino Linotype" w:cstheme="majorBidi"/>
      <w:b/>
      <w:sz w:val="22"/>
      <w:szCs w:val="26"/>
    </w:rPr>
  </w:style>
  <w:style w:type="character" w:customStyle="1" w:styleId="Nagwek3Znak">
    <w:name w:val="Nagłówek 3 Znak"/>
    <w:basedOn w:val="Domylnaczcionkaakapitu"/>
    <w:link w:val="Nagwek3"/>
    <w:uiPriority w:val="9"/>
    <w:rsid w:val="003A16C0"/>
    <w:rPr>
      <w:rFonts w:ascii="Palatino Linotype" w:eastAsiaTheme="majorEastAsia" w:hAnsi="Palatino Linotype" w:cs="Times New Roman (Nagłówki CS)"/>
      <w:b/>
      <w:spacing w:val="-12"/>
      <w:sz w:val="22"/>
    </w:rPr>
  </w:style>
  <w:style w:type="character" w:customStyle="1" w:styleId="Nagwek4Znak">
    <w:name w:val="Nagłówek 4 Znak"/>
    <w:basedOn w:val="Domylnaczcionkaakapitu"/>
    <w:link w:val="Nagwek4"/>
    <w:uiPriority w:val="9"/>
    <w:rsid w:val="003A16C0"/>
    <w:rPr>
      <w:rFonts w:ascii="Palatino Linotype" w:eastAsiaTheme="majorEastAsia" w:hAnsi="Palatino Linotype" w:cs="Times New Roman (Nagłówki CS)"/>
      <w:b/>
      <w:iCs/>
      <w:spacing w:val="-12"/>
      <w:sz w:val="22"/>
    </w:rPr>
  </w:style>
  <w:style w:type="character" w:customStyle="1" w:styleId="Nagwek5Znak">
    <w:name w:val="Nagłówek 5 Znak"/>
    <w:basedOn w:val="Domylnaczcionkaakapitu"/>
    <w:link w:val="Nagwek5"/>
    <w:uiPriority w:val="9"/>
    <w:rsid w:val="003A16C0"/>
    <w:rPr>
      <w:rFonts w:ascii="Palatino Linotype" w:eastAsiaTheme="majorEastAsia" w:hAnsi="Palatino Linotype" w:cs="Times New Roman (Nagłówki CS)"/>
      <w:b/>
      <w:iCs/>
      <w:spacing w:val="-14"/>
      <w:sz w:val="22"/>
    </w:rPr>
  </w:style>
  <w:style w:type="character" w:customStyle="1" w:styleId="Nagwek6Znak">
    <w:name w:val="Nagłówek 6 Znak"/>
    <w:basedOn w:val="Domylnaczcionkaakapitu"/>
    <w:link w:val="Nagwek6"/>
    <w:uiPriority w:val="9"/>
    <w:semiHidden/>
    <w:rsid w:val="003A16C0"/>
    <w:rPr>
      <w:rFonts w:asciiTheme="majorHAnsi" w:eastAsiaTheme="majorEastAsia" w:hAnsiTheme="majorHAnsi" w:cstheme="majorBidi"/>
      <w:color w:val="1F3763" w:themeColor="accent1" w:themeShade="7F"/>
      <w:sz w:val="21"/>
      <w:szCs w:val="22"/>
    </w:rPr>
  </w:style>
  <w:style w:type="character" w:customStyle="1" w:styleId="Nagwek7Znak">
    <w:name w:val="Nagłówek 7 Znak"/>
    <w:basedOn w:val="Domylnaczcionkaakapitu"/>
    <w:link w:val="Nagwek7"/>
    <w:uiPriority w:val="9"/>
    <w:semiHidden/>
    <w:rsid w:val="003A16C0"/>
    <w:rPr>
      <w:rFonts w:asciiTheme="majorHAnsi" w:eastAsiaTheme="majorEastAsia" w:hAnsiTheme="majorHAnsi" w:cstheme="majorBidi"/>
      <w:i/>
      <w:iCs/>
      <w:color w:val="1F3763" w:themeColor="accent1" w:themeShade="7F"/>
      <w:sz w:val="21"/>
      <w:szCs w:val="22"/>
    </w:rPr>
  </w:style>
  <w:style w:type="character" w:customStyle="1" w:styleId="Nagwek8Znak">
    <w:name w:val="Nagłówek 8 Znak"/>
    <w:basedOn w:val="Domylnaczcionkaakapitu"/>
    <w:link w:val="Nagwek8"/>
    <w:uiPriority w:val="9"/>
    <w:semiHidden/>
    <w:rsid w:val="003A16C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3A16C0"/>
    <w:rPr>
      <w:rFonts w:asciiTheme="majorHAnsi" w:eastAsiaTheme="majorEastAsia" w:hAnsiTheme="majorHAnsi" w:cstheme="majorBidi"/>
      <w:i/>
      <w:iCs/>
      <w:color w:val="272727" w:themeColor="text1" w:themeTint="D8"/>
      <w:sz w:val="21"/>
      <w:szCs w:val="21"/>
    </w:rPr>
  </w:style>
  <w:style w:type="paragraph" w:customStyle="1" w:styleId="Teskt">
    <w:name w:val="Teskt"/>
    <w:basedOn w:val="Normalny"/>
    <w:link w:val="TesktZnak"/>
    <w:rsid w:val="003A16C0"/>
    <w:pPr>
      <w:ind w:firstLine="709"/>
    </w:pPr>
    <w:rPr>
      <w:sz w:val="20"/>
      <w:lang w:eastAsia="pl-PL"/>
    </w:rPr>
  </w:style>
  <w:style w:type="character" w:customStyle="1" w:styleId="TesktZnak">
    <w:name w:val="Teskt Znak"/>
    <w:basedOn w:val="Domylnaczcionkaakapitu"/>
    <w:link w:val="Teskt"/>
    <w:rsid w:val="003A16C0"/>
    <w:rPr>
      <w:rFonts w:ascii="Palatino Linotype" w:hAnsi="Palatino Linotype"/>
      <w:sz w:val="20"/>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5348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1</cp:revision>
  <dcterms:created xsi:type="dcterms:W3CDTF">2022-04-12T16:54:00Z</dcterms:created>
  <dcterms:modified xsi:type="dcterms:W3CDTF">2022-04-12T16:56:00Z</dcterms:modified>
</cp:coreProperties>
</file>