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79CBC77" w14:textId="4CFD5A08" w:rsidR="000D08DE" w:rsidRPr="000D08DE" w:rsidRDefault="00333E2F" w:rsidP="000D08DE">
      <w:pPr>
        <w:pStyle w:val="Tytu"/>
        <w:jc w:val="right"/>
        <w:rPr>
          <w:rFonts w:ascii="Times New Roman" w:eastAsiaTheme="minorEastAsia" w:hAnsi="Times New Roman" w:cs="Times New Roman"/>
          <w:b w:val="0"/>
          <w:color w:val="auto"/>
          <w:spacing w:val="0"/>
          <w:kern w:val="0"/>
          <w:sz w:val="24"/>
          <w:szCs w:val="24"/>
          <w:lang w:val="pl-PL"/>
        </w:rPr>
      </w:pPr>
      <w:r w:rsidRPr="000D08DE">
        <w:rPr>
          <w:rFonts w:ascii="Times New Roman" w:eastAsiaTheme="minorEastAsia" w:hAnsi="Times New Roman" w:cs="Times New Roman"/>
          <w:b w:val="0"/>
          <w:color w:val="auto"/>
          <w:spacing w:val="0"/>
          <w:kern w:val="0"/>
          <w:sz w:val="24"/>
          <w:szCs w:val="24"/>
          <w:lang w:val="pl-PL"/>
        </w:rPr>
        <w:t>Anna Głogowska-Balcerzak</w:t>
      </w:r>
    </w:p>
    <w:p w14:paraId="52CB6060" w14:textId="77777777" w:rsidR="00333E2F" w:rsidRPr="000D08DE" w:rsidRDefault="00333E2F" w:rsidP="00333E2F">
      <w:pPr>
        <w:rPr>
          <w:lang w:val="pl-PL"/>
        </w:rPr>
      </w:pPr>
    </w:p>
    <w:p w14:paraId="7D144309" w14:textId="4608B620" w:rsidR="002334FE" w:rsidRPr="000D08DE" w:rsidRDefault="008145C4" w:rsidP="00F671DC">
      <w:pPr>
        <w:pStyle w:val="Tytu"/>
        <w:jc w:val="center"/>
        <w:rPr>
          <w:rFonts w:ascii="Times New Roman" w:eastAsiaTheme="minorEastAsia" w:hAnsi="Times New Roman" w:cs="Times New Roman"/>
          <w:bCs/>
          <w:color w:val="auto"/>
          <w:spacing w:val="0"/>
          <w:kern w:val="0"/>
          <w:sz w:val="30"/>
          <w:szCs w:val="30"/>
          <w:lang w:val="pl-PL"/>
        </w:rPr>
      </w:pPr>
      <w:r w:rsidRPr="000D08DE">
        <w:rPr>
          <w:rFonts w:ascii="Times New Roman" w:eastAsiaTheme="minorEastAsia" w:hAnsi="Times New Roman" w:cs="Times New Roman"/>
          <w:bCs/>
          <w:color w:val="auto"/>
          <w:spacing w:val="0"/>
          <w:kern w:val="0"/>
          <w:sz w:val="30"/>
          <w:szCs w:val="30"/>
          <w:lang w:val="pl-PL"/>
        </w:rPr>
        <w:t>Analiza jakościowa wywiadów przeprowadzonych w ramach p</w:t>
      </w:r>
      <w:r w:rsidR="00440E91" w:rsidRPr="000D08DE">
        <w:rPr>
          <w:rFonts w:ascii="Times New Roman" w:eastAsiaTheme="minorEastAsia" w:hAnsi="Times New Roman" w:cs="Times New Roman"/>
          <w:bCs/>
          <w:color w:val="auto"/>
          <w:spacing w:val="0"/>
          <w:kern w:val="0"/>
          <w:sz w:val="30"/>
          <w:szCs w:val="30"/>
          <w:lang w:val="pl-PL"/>
        </w:rPr>
        <w:t>rojekt</w:t>
      </w:r>
      <w:r w:rsidRPr="000D08DE">
        <w:rPr>
          <w:rFonts w:ascii="Times New Roman" w:eastAsiaTheme="minorEastAsia" w:hAnsi="Times New Roman" w:cs="Times New Roman"/>
          <w:bCs/>
          <w:color w:val="auto"/>
          <w:spacing w:val="0"/>
          <w:kern w:val="0"/>
          <w:sz w:val="30"/>
          <w:szCs w:val="30"/>
          <w:lang w:val="pl-PL"/>
        </w:rPr>
        <w:t>u</w:t>
      </w:r>
      <w:r w:rsidR="00440E91" w:rsidRPr="000D08DE">
        <w:rPr>
          <w:rFonts w:ascii="Times New Roman" w:eastAsiaTheme="minorEastAsia" w:hAnsi="Times New Roman" w:cs="Times New Roman"/>
          <w:bCs/>
          <w:color w:val="auto"/>
          <w:spacing w:val="0"/>
          <w:kern w:val="0"/>
          <w:sz w:val="30"/>
          <w:szCs w:val="30"/>
          <w:lang w:val="pl-PL"/>
        </w:rPr>
        <w:t xml:space="preserve"> </w:t>
      </w:r>
      <w:r w:rsidR="00823824" w:rsidRPr="000D08DE">
        <w:rPr>
          <w:rFonts w:ascii="Times New Roman" w:eastAsiaTheme="minorEastAsia" w:hAnsi="Times New Roman" w:cs="Times New Roman"/>
          <w:bCs/>
          <w:color w:val="auto"/>
          <w:spacing w:val="0"/>
          <w:kern w:val="0"/>
          <w:sz w:val="30"/>
          <w:szCs w:val="30"/>
          <w:lang w:val="pl-PL"/>
        </w:rPr>
        <w:t>NCN Miniatura pt. “</w:t>
      </w:r>
      <w:r w:rsidR="00440E91" w:rsidRPr="000D08DE">
        <w:rPr>
          <w:rFonts w:ascii="Times New Roman" w:eastAsiaTheme="minorEastAsia" w:hAnsi="Times New Roman" w:cs="Times New Roman"/>
          <w:bCs/>
          <w:color w:val="auto"/>
          <w:spacing w:val="0"/>
          <w:kern w:val="0"/>
          <w:sz w:val="30"/>
          <w:szCs w:val="30"/>
          <w:lang w:val="pl-PL"/>
        </w:rPr>
        <w:t xml:space="preserve">Prawnicze </w:t>
      </w:r>
      <w:proofErr w:type="spellStart"/>
      <w:r w:rsidR="00440E91" w:rsidRPr="000D08DE">
        <w:rPr>
          <w:rFonts w:ascii="Times New Roman" w:eastAsiaTheme="minorEastAsia" w:hAnsi="Times New Roman" w:cs="Times New Roman"/>
          <w:bCs/>
          <w:color w:val="auto"/>
          <w:spacing w:val="0"/>
          <w:kern w:val="0"/>
          <w:sz w:val="30"/>
          <w:szCs w:val="30"/>
          <w:lang w:val="pl-PL"/>
        </w:rPr>
        <w:t>herstorie</w:t>
      </w:r>
      <w:proofErr w:type="spellEnd"/>
      <w:r w:rsidR="00823824" w:rsidRPr="000D08DE">
        <w:rPr>
          <w:rFonts w:ascii="Times New Roman" w:eastAsiaTheme="minorEastAsia" w:hAnsi="Times New Roman" w:cs="Times New Roman"/>
          <w:bCs/>
          <w:color w:val="auto"/>
          <w:spacing w:val="0"/>
          <w:kern w:val="0"/>
          <w:sz w:val="30"/>
          <w:szCs w:val="30"/>
          <w:lang w:val="pl-PL"/>
        </w:rPr>
        <w:t xml:space="preserve"> - </w:t>
      </w:r>
      <w:r w:rsidR="00440E91" w:rsidRPr="000D08DE">
        <w:rPr>
          <w:rFonts w:ascii="Times New Roman" w:eastAsiaTheme="minorEastAsia" w:hAnsi="Times New Roman" w:cs="Times New Roman"/>
          <w:bCs/>
          <w:color w:val="auto"/>
          <w:spacing w:val="0"/>
          <w:kern w:val="0"/>
          <w:sz w:val="30"/>
          <w:szCs w:val="30"/>
          <w:lang w:val="pl-PL"/>
        </w:rPr>
        <w:t>Sylwetki kobiet w nauczaniu doktryn politycznych i prawnych na wybranych uczelniach wyższych w Polsce</w:t>
      </w:r>
      <w:r w:rsidR="00823824" w:rsidRPr="000D08DE">
        <w:rPr>
          <w:rFonts w:ascii="Times New Roman" w:eastAsiaTheme="minorEastAsia" w:hAnsi="Times New Roman" w:cs="Times New Roman"/>
          <w:bCs/>
          <w:color w:val="auto"/>
          <w:spacing w:val="0"/>
          <w:kern w:val="0"/>
          <w:sz w:val="30"/>
          <w:szCs w:val="30"/>
          <w:lang w:val="pl-PL"/>
        </w:rPr>
        <w:t>”</w:t>
      </w:r>
    </w:p>
    <w:p w14:paraId="65C4AC98" w14:textId="77777777" w:rsidR="00823824" w:rsidRPr="000D08DE" w:rsidRDefault="00823824" w:rsidP="00823824">
      <w:pPr>
        <w:spacing w:after="40"/>
        <w:rPr>
          <w:rFonts w:ascii="Times New Roman" w:hAnsi="Times New Roman" w:cs="Times New Roman"/>
          <w:lang w:val="pl-PL"/>
        </w:rPr>
      </w:pPr>
    </w:p>
    <w:p w14:paraId="0D5CAF80" w14:textId="1ED45AD4" w:rsidR="002334FE" w:rsidRPr="000D08DE" w:rsidRDefault="00440E91" w:rsidP="00C07546">
      <w:pPr>
        <w:spacing w:after="240"/>
        <w:jc w:val="both"/>
        <w:rPr>
          <w:rFonts w:ascii="Times New Roman" w:hAnsi="Times New Roman" w:cs="Times New Roman"/>
          <w:lang w:val="pl-PL"/>
        </w:rPr>
      </w:pPr>
      <w:r w:rsidRPr="000D08DE">
        <w:rPr>
          <w:rFonts w:ascii="Times New Roman" w:hAnsi="Times New Roman" w:cs="Times New Roman"/>
          <w:lang w:val="pl-PL"/>
        </w:rPr>
        <w:t xml:space="preserve">Analiza obejmuje </w:t>
      </w:r>
      <w:r w:rsidR="00B93391">
        <w:rPr>
          <w:rFonts w:ascii="Times New Roman" w:hAnsi="Times New Roman" w:cs="Times New Roman"/>
          <w:lang w:val="pl-PL"/>
        </w:rPr>
        <w:t>materiał z wywiadów z 15 pracownikami naukowo-dydaktycznymi</w:t>
      </w:r>
      <w:r w:rsidR="00E605D1">
        <w:rPr>
          <w:rFonts w:ascii="Times New Roman" w:hAnsi="Times New Roman" w:cs="Times New Roman"/>
          <w:lang w:val="pl-PL"/>
        </w:rPr>
        <w:t xml:space="preserve"> z </w:t>
      </w:r>
      <w:r w:rsidR="00F671DC" w:rsidRPr="000D08DE">
        <w:rPr>
          <w:rFonts w:ascii="Times New Roman" w:hAnsi="Times New Roman" w:cs="Times New Roman"/>
          <w:lang w:val="pl-PL"/>
        </w:rPr>
        <w:t>Uniwersytetu Łódzkiego, Uniwersytetu Warszawskiego, Uniwersytetu Jagiellońskiego, Uniwersytetu im. Adama Mickiewicza w Poznaniu, Uniwersytetu Wrocławskiego, Uniwersytetu Mikołaja Kopernika w Toruniu, Uniwersytetu w Białymstoku oraz Uniwersytetu Marii Curie-Skłodowskiej w Lublinie.</w:t>
      </w:r>
      <w:r w:rsidR="00F671DC" w:rsidRPr="000D08DE">
        <w:rPr>
          <w:rFonts w:ascii="Times New Roman" w:hAnsi="Times New Roman" w:cs="Times New Roman"/>
          <w:lang w:val="pl-PL"/>
        </w:rPr>
        <w:t xml:space="preserve"> </w:t>
      </w:r>
      <w:r w:rsidR="00B17E07">
        <w:rPr>
          <w:rFonts w:ascii="Times New Roman" w:hAnsi="Times New Roman" w:cs="Times New Roman"/>
          <w:lang w:val="pl-PL"/>
        </w:rPr>
        <w:t>Rozmowy odbyły się</w:t>
      </w:r>
      <w:r w:rsidR="00F671DC" w:rsidRPr="000D08DE">
        <w:rPr>
          <w:rFonts w:ascii="Times New Roman" w:hAnsi="Times New Roman" w:cs="Times New Roman"/>
          <w:lang w:val="pl-PL"/>
        </w:rPr>
        <w:t xml:space="preserve"> w okresie </w:t>
      </w:r>
      <w:r w:rsidR="00612B53" w:rsidRPr="000D08DE">
        <w:rPr>
          <w:rFonts w:ascii="Times New Roman" w:hAnsi="Times New Roman" w:cs="Times New Roman"/>
          <w:lang w:val="pl-PL"/>
        </w:rPr>
        <w:t>od października 2025 do czerwca 2026 roku.</w:t>
      </w:r>
      <w:r w:rsidR="00F84683" w:rsidRPr="000D08DE">
        <w:rPr>
          <w:rFonts w:ascii="Times New Roman" w:hAnsi="Times New Roman" w:cs="Times New Roman"/>
          <w:lang w:val="pl-PL"/>
        </w:rPr>
        <w:t xml:space="preserve"> </w:t>
      </w:r>
    </w:p>
    <w:p w14:paraId="37C58550" w14:textId="77777777" w:rsidR="002334FE" w:rsidRPr="000D08DE" w:rsidRDefault="00440E91">
      <w:pPr>
        <w:pStyle w:val="Nagwek1"/>
        <w:rPr>
          <w:rFonts w:ascii="Times New Roman" w:hAnsi="Times New Roman" w:cs="Times New Roman"/>
          <w:lang w:val="pl-PL"/>
        </w:rPr>
      </w:pPr>
      <w:r w:rsidRPr="000D08DE">
        <w:rPr>
          <w:rFonts w:ascii="Times New Roman" w:hAnsi="Times New Roman" w:cs="Times New Roman"/>
          <w:lang w:val="pl-PL"/>
        </w:rPr>
        <w:t>Najważniejszy wniosek wstępny</w:t>
      </w:r>
    </w:p>
    <w:p w14:paraId="2F98104D" w14:textId="3760B25F" w:rsidR="002334FE" w:rsidRPr="000D08DE" w:rsidRDefault="00440E91" w:rsidP="00C07546">
      <w:pPr>
        <w:jc w:val="both"/>
        <w:rPr>
          <w:rFonts w:ascii="Times New Roman" w:hAnsi="Times New Roman" w:cs="Times New Roman"/>
          <w:lang w:val="pl-PL"/>
        </w:rPr>
      </w:pPr>
      <w:r w:rsidRPr="000D08DE">
        <w:rPr>
          <w:rFonts w:ascii="Times New Roman" w:hAnsi="Times New Roman" w:cs="Times New Roman"/>
          <w:lang w:val="pl-PL"/>
        </w:rPr>
        <w:t xml:space="preserve">Kobiety nie są w badanym nauczaniu całkowicie nieobecne, lecz ich obecność ma zwykle status ograniczony: dygresji, wyjątku, relacji z kanonicznym mężczyzną albo elementu osobnego bloku poświęconego feminizmowi. Z tego powodu zasadniczym problemem nie jest wyłącznie liczba wymienianych kobiet, ale sposób ich umiejscawiania w narracji o rozwoju idei. </w:t>
      </w:r>
    </w:p>
    <w:p w14:paraId="77B62353" w14:textId="465B0DAF" w:rsidR="002334FE" w:rsidRPr="000D08DE" w:rsidRDefault="00440E91" w:rsidP="00F671DC">
      <w:pPr>
        <w:pStyle w:val="Nagwek1"/>
        <w:numPr>
          <w:ilvl w:val="0"/>
          <w:numId w:val="10"/>
        </w:numPr>
        <w:rPr>
          <w:rFonts w:ascii="Times New Roman" w:hAnsi="Times New Roman" w:cs="Times New Roman"/>
          <w:lang w:val="pl-PL"/>
        </w:rPr>
      </w:pPr>
      <w:r w:rsidRPr="000D08DE">
        <w:rPr>
          <w:rFonts w:ascii="Times New Roman" w:hAnsi="Times New Roman" w:cs="Times New Roman"/>
          <w:lang w:val="pl-PL"/>
        </w:rPr>
        <w:t>Zakres i status analizy</w:t>
      </w:r>
    </w:p>
    <w:p w14:paraId="217620B0" w14:textId="76247221" w:rsidR="002334FE" w:rsidRPr="000D08DE" w:rsidRDefault="00440E91" w:rsidP="00E37AAC">
      <w:pPr>
        <w:jc w:val="both"/>
        <w:rPr>
          <w:rFonts w:ascii="Times New Roman" w:hAnsi="Times New Roman" w:cs="Times New Roman"/>
          <w:lang w:val="pl-PL"/>
        </w:rPr>
      </w:pPr>
      <w:r w:rsidRPr="000D08DE">
        <w:rPr>
          <w:rFonts w:ascii="Times New Roman" w:hAnsi="Times New Roman" w:cs="Times New Roman"/>
          <w:lang w:val="pl-PL"/>
        </w:rPr>
        <w:t xml:space="preserve">Dokument przedstawia </w:t>
      </w:r>
      <w:r w:rsidR="00756B27" w:rsidRPr="000D08DE">
        <w:rPr>
          <w:rFonts w:ascii="Times New Roman" w:hAnsi="Times New Roman" w:cs="Times New Roman"/>
          <w:lang w:val="pl-PL"/>
        </w:rPr>
        <w:t>wynik</w:t>
      </w:r>
      <w:r w:rsidRPr="000D08DE">
        <w:rPr>
          <w:rFonts w:ascii="Times New Roman" w:hAnsi="Times New Roman" w:cs="Times New Roman"/>
          <w:lang w:val="pl-PL"/>
        </w:rPr>
        <w:t xml:space="preserve"> kodowania tematycznego. Uzgodnion</w:t>
      </w:r>
      <w:r w:rsidR="00470708">
        <w:rPr>
          <w:rFonts w:ascii="Times New Roman" w:hAnsi="Times New Roman" w:cs="Times New Roman"/>
          <w:lang w:val="pl-PL"/>
        </w:rPr>
        <w:t>a</w:t>
      </w:r>
      <w:r w:rsidRPr="000D08DE">
        <w:rPr>
          <w:rFonts w:ascii="Times New Roman" w:hAnsi="Times New Roman" w:cs="Times New Roman"/>
          <w:lang w:val="pl-PL"/>
        </w:rPr>
        <w:t xml:space="preserve"> </w:t>
      </w:r>
      <w:r w:rsidR="00756B27" w:rsidRPr="000D08DE">
        <w:rPr>
          <w:rFonts w:ascii="Times New Roman" w:hAnsi="Times New Roman" w:cs="Times New Roman"/>
          <w:lang w:val="pl-PL"/>
        </w:rPr>
        <w:t xml:space="preserve">na pierwszym etapie analizy </w:t>
      </w:r>
      <w:r w:rsidR="00470708">
        <w:rPr>
          <w:rFonts w:ascii="Times New Roman" w:hAnsi="Times New Roman" w:cs="Times New Roman"/>
          <w:lang w:val="pl-PL"/>
        </w:rPr>
        <w:t>mapa kodów (</w:t>
      </w:r>
      <w:proofErr w:type="spellStart"/>
      <w:r w:rsidR="00470708" w:rsidRPr="00470708">
        <w:rPr>
          <w:rFonts w:ascii="Times New Roman" w:hAnsi="Times New Roman" w:cs="Times New Roman"/>
          <w:i/>
          <w:iCs/>
          <w:lang w:val="pl-PL"/>
        </w:rPr>
        <w:t>codebook</w:t>
      </w:r>
      <w:proofErr w:type="spellEnd"/>
      <w:r w:rsidR="00470708">
        <w:rPr>
          <w:rFonts w:ascii="Times New Roman" w:hAnsi="Times New Roman" w:cs="Times New Roman"/>
          <w:lang w:val="pl-PL"/>
        </w:rPr>
        <w:t>)</w:t>
      </w:r>
      <w:r w:rsidRPr="000D08DE">
        <w:rPr>
          <w:rFonts w:ascii="Times New Roman" w:hAnsi="Times New Roman" w:cs="Times New Roman"/>
          <w:lang w:val="pl-PL"/>
        </w:rPr>
        <w:t>, łącząc</w:t>
      </w:r>
      <w:r w:rsidR="00573765">
        <w:rPr>
          <w:rFonts w:ascii="Times New Roman" w:hAnsi="Times New Roman" w:cs="Times New Roman"/>
          <w:lang w:val="pl-PL"/>
        </w:rPr>
        <w:t>a</w:t>
      </w:r>
      <w:r w:rsidRPr="000D08DE">
        <w:rPr>
          <w:rFonts w:ascii="Times New Roman" w:hAnsi="Times New Roman" w:cs="Times New Roman"/>
          <w:lang w:val="pl-PL"/>
        </w:rPr>
        <w:t xml:space="preserve"> kody dedukcyjne wynikające z pytań badawczych i kwestionariusza z kodami indukcyjnymi wyłonionymi podczas lektury materiału, zastosowano do 13 transkrypcji oraz pomocniczo do notatki z nienagranego wywiadu. Jednostką kodowania był fragment wypowiedzi lub zapisu zawierający odrębny sens; jeden fragment mógł otrzymać kilka kodów. Analiza dotyczy praktyk deklarowanych przez rozmówców, ich uzasadnień oraz sposobów </w:t>
      </w:r>
      <w:proofErr w:type="spellStart"/>
      <w:r w:rsidRPr="000D08DE">
        <w:rPr>
          <w:rFonts w:ascii="Times New Roman" w:hAnsi="Times New Roman" w:cs="Times New Roman"/>
          <w:lang w:val="pl-PL"/>
        </w:rPr>
        <w:t>konceptualizowania</w:t>
      </w:r>
      <w:proofErr w:type="spellEnd"/>
      <w:r w:rsidRPr="000D08DE">
        <w:rPr>
          <w:rFonts w:ascii="Times New Roman" w:hAnsi="Times New Roman" w:cs="Times New Roman"/>
          <w:lang w:val="pl-PL"/>
        </w:rPr>
        <w:t xml:space="preserve"> kanonu</w:t>
      </w:r>
      <w:r w:rsidR="00573765">
        <w:rPr>
          <w:rFonts w:ascii="Times New Roman" w:hAnsi="Times New Roman" w:cs="Times New Roman"/>
          <w:lang w:val="pl-PL"/>
        </w:rPr>
        <w:t xml:space="preserve"> nauczania przedmiotu</w:t>
      </w:r>
      <w:r w:rsidRPr="000D08DE">
        <w:rPr>
          <w:rFonts w:ascii="Times New Roman" w:hAnsi="Times New Roman" w:cs="Times New Roman"/>
          <w:lang w:val="pl-PL"/>
        </w:rPr>
        <w:t>. Nie jest audytem sylabusów ani obserwacją zajęć.</w:t>
      </w:r>
    </w:p>
    <w:p w14:paraId="4BD0CB3D" w14:textId="5BAAD68B" w:rsidR="002334FE" w:rsidRPr="000D08DE" w:rsidRDefault="00440E91" w:rsidP="00B17E07">
      <w:pPr>
        <w:jc w:val="both"/>
        <w:rPr>
          <w:rFonts w:ascii="Times New Roman" w:hAnsi="Times New Roman" w:cs="Times New Roman"/>
          <w:lang w:val="pl-PL"/>
        </w:rPr>
      </w:pPr>
      <w:r w:rsidRPr="000D08DE">
        <w:rPr>
          <w:rFonts w:ascii="Times New Roman" w:hAnsi="Times New Roman" w:cs="Times New Roman"/>
          <w:lang w:val="pl-PL"/>
        </w:rPr>
        <w:t xml:space="preserve">Częstotliwość występowania kodu ma wyłącznie znaczenie orientacyjne. W wywiadzie jakościowym pojedyncza wypowiedź może mieć dużą wagę analityczną, a powtarzalność może częściowo wynikać ze struktury kwestionariusza. </w:t>
      </w:r>
    </w:p>
    <w:p w14:paraId="2411D20E" w14:textId="77777777" w:rsidR="002334FE" w:rsidRPr="000D08DE" w:rsidRDefault="00440E91" w:rsidP="00B17E07">
      <w:pPr>
        <w:pStyle w:val="Listapunktowana"/>
        <w:jc w:val="both"/>
        <w:rPr>
          <w:rFonts w:ascii="Times New Roman" w:hAnsi="Times New Roman" w:cs="Times New Roman"/>
          <w:lang w:val="pl-PL"/>
        </w:rPr>
      </w:pPr>
      <w:r w:rsidRPr="000D08DE">
        <w:rPr>
          <w:rFonts w:ascii="Times New Roman" w:hAnsi="Times New Roman" w:cs="Times New Roman"/>
          <w:lang w:val="pl-PL"/>
        </w:rPr>
        <w:t>Rdzeń materiału stanowi 13 transkrypcji rozmów z 14 osobami.</w:t>
      </w:r>
    </w:p>
    <w:p w14:paraId="5AB43654" w14:textId="77777777" w:rsidR="002334FE" w:rsidRPr="000D08DE" w:rsidRDefault="00440E91" w:rsidP="00B17E07">
      <w:pPr>
        <w:pStyle w:val="Listapunktowana"/>
        <w:jc w:val="both"/>
        <w:rPr>
          <w:rFonts w:ascii="Times New Roman" w:hAnsi="Times New Roman" w:cs="Times New Roman"/>
          <w:lang w:val="pl-PL"/>
        </w:rPr>
      </w:pPr>
      <w:r w:rsidRPr="000D08DE">
        <w:rPr>
          <w:rFonts w:ascii="Times New Roman" w:hAnsi="Times New Roman" w:cs="Times New Roman"/>
          <w:lang w:val="pl-PL"/>
        </w:rPr>
        <w:t>Wspólny wywiad z P01 i P02 analizowano jako dwie perspektywy, z uwzględnieniem wpływu interakcji między rozmówcami.</w:t>
      </w:r>
    </w:p>
    <w:p w14:paraId="4E952D26" w14:textId="77777777" w:rsidR="002334FE" w:rsidRPr="000D08DE" w:rsidRDefault="00440E91" w:rsidP="00B17E07">
      <w:pPr>
        <w:pStyle w:val="Listapunktowana"/>
        <w:jc w:val="both"/>
        <w:rPr>
          <w:rFonts w:ascii="Times New Roman" w:hAnsi="Times New Roman" w:cs="Times New Roman"/>
          <w:lang w:val="pl-PL"/>
        </w:rPr>
      </w:pPr>
      <w:r w:rsidRPr="000D08DE">
        <w:rPr>
          <w:rFonts w:ascii="Times New Roman" w:hAnsi="Times New Roman" w:cs="Times New Roman"/>
          <w:lang w:val="pl-PL"/>
        </w:rPr>
        <w:t>P15 zakodowano na podstawie szczątkowej notatki z nienagranego wywiadu. Przypadek ma status materiału uzupełniającego: potwierdza wybrane wątki, lecz nie może być analizowany z taką samą szczegółowością jak pełne transkrypcje.</w:t>
      </w:r>
    </w:p>
    <w:p w14:paraId="36D35EB7" w14:textId="11EC78BC" w:rsidR="002334FE" w:rsidRPr="000D08DE" w:rsidRDefault="00440E91" w:rsidP="006017AC">
      <w:pPr>
        <w:pStyle w:val="Nagwek1"/>
        <w:numPr>
          <w:ilvl w:val="0"/>
          <w:numId w:val="10"/>
        </w:numPr>
        <w:rPr>
          <w:rFonts w:ascii="Times New Roman" w:hAnsi="Times New Roman" w:cs="Times New Roman"/>
          <w:lang w:val="pl-PL"/>
        </w:rPr>
      </w:pPr>
      <w:r w:rsidRPr="000D08DE">
        <w:rPr>
          <w:rFonts w:ascii="Times New Roman" w:hAnsi="Times New Roman" w:cs="Times New Roman"/>
          <w:lang w:val="pl-PL"/>
        </w:rPr>
        <w:t>Mapa kodów</w:t>
      </w:r>
    </w:p>
    <w:p w14:paraId="65E568A5" w14:textId="736483A4" w:rsidR="002334FE" w:rsidRPr="000D08DE" w:rsidRDefault="00440E91">
      <w:pPr>
        <w:rPr>
          <w:rFonts w:ascii="Times New Roman" w:hAnsi="Times New Roman" w:cs="Times New Roman"/>
          <w:lang w:val="pl-PL"/>
        </w:rPr>
      </w:pPr>
      <w:r w:rsidRPr="000D08DE">
        <w:rPr>
          <w:rFonts w:ascii="Times New Roman" w:hAnsi="Times New Roman" w:cs="Times New Roman"/>
          <w:lang w:val="pl-PL"/>
        </w:rPr>
        <w:t xml:space="preserve">Poniższy </w:t>
      </w:r>
      <w:proofErr w:type="spellStart"/>
      <w:r w:rsidRPr="000D08DE">
        <w:rPr>
          <w:rFonts w:ascii="Times New Roman" w:hAnsi="Times New Roman" w:cs="Times New Roman"/>
          <w:lang w:val="pl-PL"/>
        </w:rPr>
        <w:t>codebook</w:t>
      </w:r>
      <w:proofErr w:type="spellEnd"/>
      <w:r w:rsidRPr="000D08DE">
        <w:rPr>
          <w:rFonts w:ascii="Times New Roman" w:hAnsi="Times New Roman" w:cs="Times New Roman"/>
          <w:lang w:val="pl-PL"/>
        </w:rPr>
        <w:t xml:space="preserve"> porządkuje materiał na pięciu poziomach: </w:t>
      </w:r>
      <w:r w:rsidR="00BE1C92" w:rsidRPr="000D08DE">
        <w:rPr>
          <w:rFonts w:ascii="Times New Roman" w:hAnsi="Times New Roman" w:cs="Times New Roman"/>
          <w:lang w:val="pl-PL"/>
        </w:rPr>
        <w:t xml:space="preserve">(1) </w:t>
      </w:r>
      <w:r w:rsidRPr="000D08DE">
        <w:rPr>
          <w:rFonts w:ascii="Times New Roman" w:hAnsi="Times New Roman" w:cs="Times New Roman"/>
          <w:lang w:val="pl-PL"/>
        </w:rPr>
        <w:t xml:space="preserve">funkcje przedmiotu i konstrukcja kanonu, </w:t>
      </w:r>
      <w:r w:rsidR="00BE1C92" w:rsidRPr="000D08DE">
        <w:rPr>
          <w:rFonts w:ascii="Times New Roman" w:hAnsi="Times New Roman" w:cs="Times New Roman"/>
          <w:lang w:val="pl-PL"/>
        </w:rPr>
        <w:t xml:space="preserve">(2) </w:t>
      </w:r>
      <w:r w:rsidRPr="000D08DE">
        <w:rPr>
          <w:rFonts w:ascii="Times New Roman" w:hAnsi="Times New Roman" w:cs="Times New Roman"/>
          <w:lang w:val="pl-PL"/>
        </w:rPr>
        <w:t xml:space="preserve">formy obecności kobiet, </w:t>
      </w:r>
      <w:r w:rsidR="00BE1C92" w:rsidRPr="000D08DE">
        <w:rPr>
          <w:rFonts w:ascii="Times New Roman" w:hAnsi="Times New Roman" w:cs="Times New Roman"/>
          <w:lang w:val="pl-PL"/>
        </w:rPr>
        <w:t xml:space="preserve">(3) </w:t>
      </w:r>
      <w:r w:rsidRPr="000D08DE">
        <w:rPr>
          <w:rFonts w:ascii="Times New Roman" w:hAnsi="Times New Roman" w:cs="Times New Roman"/>
          <w:lang w:val="pl-PL"/>
        </w:rPr>
        <w:t xml:space="preserve">bariery, </w:t>
      </w:r>
      <w:r w:rsidR="00BE1C92" w:rsidRPr="000D08DE">
        <w:rPr>
          <w:rFonts w:ascii="Times New Roman" w:hAnsi="Times New Roman" w:cs="Times New Roman"/>
          <w:lang w:val="pl-PL"/>
        </w:rPr>
        <w:t xml:space="preserve">(4) </w:t>
      </w:r>
      <w:r w:rsidRPr="000D08DE">
        <w:rPr>
          <w:rFonts w:ascii="Times New Roman" w:hAnsi="Times New Roman" w:cs="Times New Roman"/>
          <w:lang w:val="pl-PL"/>
        </w:rPr>
        <w:t xml:space="preserve">nośniki dydaktyczne oraz </w:t>
      </w:r>
      <w:r w:rsidR="00BE1C92" w:rsidRPr="000D08DE">
        <w:rPr>
          <w:rFonts w:ascii="Times New Roman" w:hAnsi="Times New Roman" w:cs="Times New Roman"/>
          <w:lang w:val="pl-PL"/>
        </w:rPr>
        <w:t xml:space="preserve">(5) </w:t>
      </w:r>
      <w:r w:rsidRPr="000D08DE">
        <w:rPr>
          <w:rFonts w:ascii="Times New Roman" w:hAnsi="Times New Roman" w:cs="Times New Roman"/>
          <w:lang w:val="pl-PL"/>
        </w:rPr>
        <w:t>orientacje wobec zmiany.</w:t>
      </w:r>
    </w:p>
    <w:p w14:paraId="5FDD40B8" w14:textId="77777777" w:rsidR="00333E2F" w:rsidRPr="000D08DE" w:rsidRDefault="00333E2F">
      <w:pPr>
        <w:rPr>
          <w:rFonts w:ascii="Times New Roman" w:hAnsi="Times New Roman" w:cs="Times New Roman"/>
          <w:lang w:val="pl-PL"/>
        </w:rPr>
      </w:pPr>
    </w:p>
    <w:tbl>
      <w:tblPr>
        <w:tblW w:w="0" w:type="auto"/>
        <w:jc w:val="center"/>
        <w:tblLayout w:type="fixed"/>
        <w:tblLook w:val="04A0" w:firstRow="1" w:lastRow="0" w:firstColumn="1" w:lastColumn="0" w:noHBand="0" w:noVBand="1"/>
      </w:tblPr>
      <w:tblGrid>
        <w:gridCol w:w="749"/>
        <w:gridCol w:w="2549"/>
        <w:gridCol w:w="6408"/>
      </w:tblGrid>
      <w:tr w:rsidR="002334FE" w:rsidRPr="000D08DE" w14:paraId="3DAD8290" w14:textId="77777777">
        <w:trPr>
          <w:cantSplit/>
          <w:tblHeader/>
          <w:jc w:val="center"/>
        </w:trPr>
        <w:tc>
          <w:tcPr>
            <w:tcW w:w="749" w:type="dxa"/>
            <w:shd w:val="clear" w:color="auto" w:fill="374151"/>
            <w:tcMar>
              <w:top w:w="100" w:type="dxa"/>
              <w:left w:w="110" w:type="dxa"/>
              <w:bottom w:w="100" w:type="dxa"/>
              <w:right w:w="110" w:type="dxa"/>
            </w:tcMar>
            <w:vAlign w:val="center"/>
          </w:tcPr>
          <w:p w14:paraId="2CEC7DCD"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b/>
                <w:color w:val="FFFFFF"/>
                <w:sz w:val="17"/>
                <w:lang w:val="pl-PL"/>
              </w:rPr>
              <w:t>Kod</w:t>
            </w:r>
          </w:p>
        </w:tc>
        <w:tc>
          <w:tcPr>
            <w:tcW w:w="2549" w:type="dxa"/>
            <w:shd w:val="clear" w:color="auto" w:fill="374151"/>
            <w:tcMar>
              <w:top w:w="100" w:type="dxa"/>
              <w:left w:w="110" w:type="dxa"/>
              <w:bottom w:w="100" w:type="dxa"/>
              <w:right w:w="110" w:type="dxa"/>
            </w:tcMar>
            <w:vAlign w:val="center"/>
          </w:tcPr>
          <w:p w14:paraId="07A2DE9E"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b/>
                <w:color w:val="FFFFFF"/>
                <w:sz w:val="17"/>
                <w:lang w:val="pl-PL"/>
              </w:rPr>
              <w:t>Nazwa</w:t>
            </w:r>
          </w:p>
        </w:tc>
        <w:tc>
          <w:tcPr>
            <w:tcW w:w="6408" w:type="dxa"/>
            <w:shd w:val="clear" w:color="auto" w:fill="374151"/>
            <w:tcMar>
              <w:top w:w="100" w:type="dxa"/>
              <w:left w:w="110" w:type="dxa"/>
              <w:bottom w:w="100" w:type="dxa"/>
              <w:right w:w="110" w:type="dxa"/>
            </w:tcMar>
            <w:vAlign w:val="center"/>
          </w:tcPr>
          <w:p w14:paraId="0E430F45"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b/>
                <w:color w:val="FFFFFF"/>
                <w:sz w:val="17"/>
                <w:lang w:val="pl-PL"/>
              </w:rPr>
              <w:t>Definicja operacyjna</w:t>
            </w:r>
          </w:p>
        </w:tc>
      </w:tr>
      <w:tr w:rsidR="002334FE" w:rsidRPr="000D08DE" w14:paraId="037317E8" w14:textId="77777777">
        <w:trPr>
          <w:cantSplit/>
          <w:jc w:val="center"/>
        </w:trPr>
        <w:tc>
          <w:tcPr>
            <w:tcW w:w="749" w:type="dxa"/>
            <w:tcMar>
              <w:top w:w="100" w:type="dxa"/>
              <w:left w:w="110" w:type="dxa"/>
              <w:bottom w:w="100" w:type="dxa"/>
              <w:right w:w="110" w:type="dxa"/>
            </w:tcMar>
            <w:vAlign w:val="center"/>
          </w:tcPr>
          <w:p w14:paraId="4476A681"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7"/>
                <w:lang w:val="pl-PL"/>
              </w:rPr>
              <w:t>A1</w:t>
            </w:r>
          </w:p>
        </w:tc>
        <w:tc>
          <w:tcPr>
            <w:tcW w:w="2549" w:type="dxa"/>
            <w:tcMar>
              <w:top w:w="100" w:type="dxa"/>
              <w:left w:w="110" w:type="dxa"/>
              <w:bottom w:w="100" w:type="dxa"/>
              <w:right w:w="110" w:type="dxa"/>
            </w:tcMar>
            <w:vAlign w:val="center"/>
          </w:tcPr>
          <w:p w14:paraId="16DE74B0"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7"/>
                <w:lang w:val="pl-PL"/>
              </w:rPr>
              <w:t>Krytyczne myślenie i teraźniejszość</w:t>
            </w:r>
          </w:p>
        </w:tc>
        <w:tc>
          <w:tcPr>
            <w:tcW w:w="6408" w:type="dxa"/>
            <w:tcMar>
              <w:top w:w="100" w:type="dxa"/>
              <w:left w:w="110" w:type="dxa"/>
              <w:bottom w:w="100" w:type="dxa"/>
              <w:right w:w="110" w:type="dxa"/>
            </w:tcMar>
            <w:vAlign w:val="center"/>
          </w:tcPr>
          <w:p w14:paraId="6F2F44E6"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7"/>
                <w:lang w:val="pl-PL"/>
              </w:rPr>
              <w:t>Doktryny jako narzędzie rozumienia prawa, państwa i współczesnych sporów, a nie wyłącznie przekaz historyczny.</w:t>
            </w:r>
          </w:p>
        </w:tc>
      </w:tr>
      <w:tr w:rsidR="002334FE" w:rsidRPr="000D08DE" w14:paraId="74B7254B" w14:textId="77777777">
        <w:trPr>
          <w:cantSplit/>
          <w:jc w:val="center"/>
        </w:trPr>
        <w:tc>
          <w:tcPr>
            <w:tcW w:w="749" w:type="dxa"/>
            <w:shd w:val="clear" w:color="auto" w:fill="F3F4F6"/>
            <w:tcMar>
              <w:top w:w="100" w:type="dxa"/>
              <w:left w:w="110" w:type="dxa"/>
              <w:bottom w:w="100" w:type="dxa"/>
              <w:right w:w="110" w:type="dxa"/>
            </w:tcMar>
            <w:vAlign w:val="center"/>
          </w:tcPr>
          <w:p w14:paraId="7168C56B"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7"/>
                <w:lang w:val="pl-PL"/>
              </w:rPr>
              <w:lastRenderedPageBreak/>
              <w:t>A2</w:t>
            </w:r>
          </w:p>
        </w:tc>
        <w:tc>
          <w:tcPr>
            <w:tcW w:w="2549" w:type="dxa"/>
            <w:shd w:val="clear" w:color="auto" w:fill="F3F4F6"/>
            <w:tcMar>
              <w:top w:w="100" w:type="dxa"/>
              <w:left w:w="110" w:type="dxa"/>
              <w:bottom w:w="100" w:type="dxa"/>
              <w:right w:w="110" w:type="dxa"/>
            </w:tcMar>
            <w:vAlign w:val="center"/>
          </w:tcPr>
          <w:p w14:paraId="5B6A852B"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7"/>
                <w:lang w:val="pl-PL"/>
              </w:rPr>
              <w:t>Wpływ i przełomowość</w:t>
            </w:r>
          </w:p>
        </w:tc>
        <w:tc>
          <w:tcPr>
            <w:tcW w:w="6408" w:type="dxa"/>
            <w:shd w:val="clear" w:color="auto" w:fill="F3F4F6"/>
            <w:tcMar>
              <w:top w:w="100" w:type="dxa"/>
              <w:left w:w="110" w:type="dxa"/>
              <w:bottom w:w="100" w:type="dxa"/>
              <w:right w:w="110" w:type="dxa"/>
            </w:tcMar>
            <w:vAlign w:val="center"/>
          </w:tcPr>
          <w:p w14:paraId="2083A0A9"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7"/>
                <w:lang w:val="pl-PL"/>
              </w:rPr>
              <w:t>Dobór postaci według deklarowanej doniosłości, wpływu na późniejsze idee lub instytucje.</w:t>
            </w:r>
          </w:p>
        </w:tc>
      </w:tr>
      <w:tr w:rsidR="002334FE" w:rsidRPr="000D08DE" w14:paraId="30F382E7" w14:textId="77777777">
        <w:trPr>
          <w:cantSplit/>
          <w:jc w:val="center"/>
        </w:trPr>
        <w:tc>
          <w:tcPr>
            <w:tcW w:w="749" w:type="dxa"/>
            <w:tcMar>
              <w:top w:w="100" w:type="dxa"/>
              <w:left w:w="110" w:type="dxa"/>
              <w:bottom w:w="100" w:type="dxa"/>
              <w:right w:w="110" w:type="dxa"/>
            </w:tcMar>
            <w:vAlign w:val="center"/>
          </w:tcPr>
          <w:p w14:paraId="311EAD67"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7"/>
                <w:lang w:val="pl-PL"/>
              </w:rPr>
              <w:t>A3</w:t>
            </w:r>
          </w:p>
        </w:tc>
        <w:tc>
          <w:tcPr>
            <w:tcW w:w="2549" w:type="dxa"/>
            <w:tcMar>
              <w:top w:w="100" w:type="dxa"/>
              <w:left w:w="110" w:type="dxa"/>
              <w:bottom w:w="100" w:type="dxa"/>
              <w:right w:w="110" w:type="dxa"/>
            </w:tcMar>
            <w:vAlign w:val="center"/>
          </w:tcPr>
          <w:p w14:paraId="00EF0557"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7"/>
                <w:lang w:val="pl-PL"/>
              </w:rPr>
              <w:t>Dziedziczony kanon i inercja</w:t>
            </w:r>
          </w:p>
        </w:tc>
        <w:tc>
          <w:tcPr>
            <w:tcW w:w="6408" w:type="dxa"/>
            <w:tcMar>
              <w:top w:w="100" w:type="dxa"/>
              <w:left w:w="110" w:type="dxa"/>
              <w:bottom w:w="100" w:type="dxa"/>
              <w:right w:w="110" w:type="dxa"/>
            </w:tcMar>
            <w:vAlign w:val="center"/>
          </w:tcPr>
          <w:p w14:paraId="6CAC8191"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7"/>
                <w:lang w:val="pl-PL"/>
              </w:rPr>
              <w:t>Odtwarzanie programu, podręcznika, pytań egzaminacyjnych lub sposobu nauczania mistrza; przyzwyczajenie jako mechanizm reprodukcji.</w:t>
            </w:r>
          </w:p>
        </w:tc>
      </w:tr>
      <w:tr w:rsidR="002334FE" w:rsidRPr="000D08DE" w14:paraId="569F3418" w14:textId="77777777">
        <w:trPr>
          <w:cantSplit/>
          <w:jc w:val="center"/>
        </w:trPr>
        <w:tc>
          <w:tcPr>
            <w:tcW w:w="749" w:type="dxa"/>
            <w:shd w:val="clear" w:color="auto" w:fill="F3F4F6"/>
            <w:tcMar>
              <w:top w:w="100" w:type="dxa"/>
              <w:left w:w="110" w:type="dxa"/>
              <w:bottom w:w="100" w:type="dxa"/>
              <w:right w:w="110" w:type="dxa"/>
            </w:tcMar>
            <w:vAlign w:val="center"/>
          </w:tcPr>
          <w:p w14:paraId="08F19417"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7"/>
                <w:lang w:val="pl-PL"/>
              </w:rPr>
              <w:t>A4</w:t>
            </w:r>
          </w:p>
        </w:tc>
        <w:tc>
          <w:tcPr>
            <w:tcW w:w="2549" w:type="dxa"/>
            <w:shd w:val="clear" w:color="auto" w:fill="F3F4F6"/>
            <w:tcMar>
              <w:top w:w="100" w:type="dxa"/>
              <w:left w:w="110" w:type="dxa"/>
              <w:bottom w:w="100" w:type="dxa"/>
              <w:right w:w="110" w:type="dxa"/>
            </w:tcMar>
            <w:vAlign w:val="center"/>
          </w:tcPr>
          <w:p w14:paraId="36CAE45D"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7"/>
                <w:lang w:val="pl-PL"/>
              </w:rPr>
              <w:t>Autorskość i specjalizacja wykładowcy</w:t>
            </w:r>
          </w:p>
        </w:tc>
        <w:tc>
          <w:tcPr>
            <w:tcW w:w="6408" w:type="dxa"/>
            <w:shd w:val="clear" w:color="auto" w:fill="F3F4F6"/>
            <w:tcMar>
              <w:top w:w="100" w:type="dxa"/>
              <w:left w:w="110" w:type="dxa"/>
              <w:bottom w:w="100" w:type="dxa"/>
              <w:right w:w="110" w:type="dxa"/>
            </w:tcMar>
            <w:vAlign w:val="center"/>
          </w:tcPr>
          <w:p w14:paraId="20A78B7E"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7"/>
                <w:lang w:val="pl-PL"/>
              </w:rPr>
              <w:t>Wpływ zainteresowań badawczych, epoki, nurtu i indywidualnych preferencji prowadzącego na dobór treści.</w:t>
            </w:r>
          </w:p>
        </w:tc>
      </w:tr>
      <w:tr w:rsidR="002334FE" w:rsidRPr="000D08DE" w14:paraId="025F22C6" w14:textId="77777777">
        <w:trPr>
          <w:cantSplit/>
          <w:jc w:val="center"/>
        </w:trPr>
        <w:tc>
          <w:tcPr>
            <w:tcW w:w="749" w:type="dxa"/>
            <w:tcMar>
              <w:top w:w="100" w:type="dxa"/>
              <w:left w:w="110" w:type="dxa"/>
              <w:bottom w:w="100" w:type="dxa"/>
              <w:right w:w="110" w:type="dxa"/>
            </w:tcMar>
            <w:vAlign w:val="center"/>
          </w:tcPr>
          <w:p w14:paraId="349E55F6"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7"/>
                <w:lang w:val="pl-PL"/>
              </w:rPr>
              <w:t>A5</w:t>
            </w:r>
          </w:p>
        </w:tc>
        <w:tc>
          <w:tcPr>
            <w:tcW w:w="2549" w:type="dxa"/>
            <w:tcMar>
              <w:top w:w="100" w:type="dxa"/>
              <w:left w:w="110" w:type="dxa"/>
              <w:bottom w:w="100" w:type="dxa"/>
              <w:right w:w="110" w:type="dxa"/>
            </w:tcMar>
            <w:vAlign w:val="center"/>
          </w:tcPr>
          <w:p w14:paraId="39547EA8"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7"/>
                <w:lang w:val="pl-PL"/>
              </w:rPr>
              <w:t>Presja czasu i chronologii</w:t>
            </w:r>
          </w:p>
        </w:tc>
        <w:tc>
          <w:tcPr>
            <w:tcW w:w="6408" w:type="dxa"/>
            <w:tcMar>
              <w:top w:w="100" w:type="dxa"/>
              <w:left w:w="110" w:type="dxa"/>
              <w:bottom w:w="100" w:type="dxa"/>
              <w:right w:w="110" w:type="dxa"/>
            </w:tcMar>
            <w:vAlign w:val="center"/>
          </w:tcPr>
          <w:p w14:paraId="798BC706" w14:textId="2206B481"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7"/>
                <w:lang w:val="pl-PL"/>
              </w:rPr>
              <w:t>Redukcja godzin, konieczność selekcji, niedocieranie do X</w:t>
            </w:r>
            <w:r w:rsidRPr="000D08DE">
              <w:rPr>
                <w:rFonts w:ascii="Times New Roman" w:hAnsi="Times New Roman" w:cs="Times New Roman"/>
                <w:color w:val="000000"/>
                <w:sz w:val="17"/>
                <w:lang w:val="pl-PL"/>
              </w:rPr>
              <w:t>X–XXI wieku, pierwszeństwo klasyków.</w:t>
            </w:r>
          </w:p>
        </w:tc>
      </w:tr>
      <w:tr w:rsidR="002334FE" w:rsidRPr="000D08DE" w14:paraId="6118790C" w14:textId="77777777">
        <w:trPr>
          <w:cantSplit/>
          <w:jc w:val="center"/>
        </w:trPr>
        <w:tc>
          <w:tcPr>
            <w:tcW w:w="749" w:type="dxa"/>
            <w:shd w:val="clear" w:color="auto" w:fill="F3F4F6"/>
            <w:tcMar>
              <w:top w:w="100" w:type="dxa"/>
              <w:left w:w="110" w:type="dxa"/>
              <w:bottom w:w="100" w:type="dxa"/>
              <w:right w:w="110" w:type="dxa"/>
            </w:tcMar>
            <w:vAlign w:val="center"/>
          </w:tcPr>
          <w:p w14:paraId="16C5C77F"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7"/>
                <w:lang w:val="pl-PL"/>
              </w:rPr>
              <w:t>A6</w:t>
            </w:r>
          </w:p>
        </w:tc>
        <w:tc>
          <w:tcPr>
            <w:tcW w:w="2549" w:type="dxa"/>
            <w:shd w:val="clear" w:color="auto" w:fill="F3F4F6"/>
            <w:tcMar>
              <w:top w:w="100" w:type="dxa"/>
              <w:left w:w="110" w:type="dxa"/>
              <w:bottom w:w="100" w:type="dxa"/>
              <w:right w:w="110" w:type="dxa"/>
            </w:tcMar>
            <w:vAlign w:val="center"/>
          </w:tcPr>
          <w:p w14:paraId="3C830425"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7"/>
                <w:lang w:val="pl-PL"/>
              </w:rPr>
              <w:t>Instytucjonalna marginalizacja przedmiotu</w:t>
            </w:r>
          </w:p>
        </w:tc>
        <w:tc>
          <w:tcPr>
            <w:tcW w:w="6408" w:type="dxa"/>
            <w:shd w:val="clear" w:color="auto" w:fill="F3F4F6"/>
            <w:tcMar>
              <w:top w:w="100" w:type="dxa"/>
              <w:left w:w="110" w:type="dxa"/>
              <w:bottom w:w="100" w:type="dxa"/>
              <w:right w:w="110" w:type="dxa"/>
            </w:tcMar>
            <w:vAlign w:val="center"/>
          </w:tcPr>
          <w:p w14:paraId="0942C1FB"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7"/>
                <w:lang w:val="pl-PL"/>
              </w:rPr>
              <w:t>Fakultatywność, likwidacja ćwiczeń, redukcja statusu doktryn i nacisk na przygotowanie zawodowe kosztem kształcenia ogólnego.</w:t>
            </w:r>
          </w:p>
        </w:tc>
      </w:tr>
      <w:tr w:rsidR="002334FE" w:rsidRPr="000D08DE" w14:paraId="0A84CBC4" w14:textId="77777777">
        <w:trPr>
          <w:cantSplit/>
          <w:jc w:val="center"/>
        </w:trPr>
        <w:tc>
          <w:tcPr>
            <w:tcW w:w="749" w:type="dxa"/>
            <w:tcMar>
              <w:top w:w="100" w:type="dxa"/>
              <w:left w:w="110" w:type="dxa"/>
              <w:bottom w:w="100" w:type="dxa"/>
              <w:right w:w="110" w:type="dxa"/>
            </w:tcMar>
            <w:vAlign w:val="center"/>
          </w:tcPr>
          <w:p w14:paraId="02E8AA6A"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7"/>
                <w:lang w:val="pl-PL"/>
              </w:rPr>
              <w:t>B1</w:t>
            </w:r>
          </w:p>
        </w:tc>
        <w:tc>
          <w:tcPr>
            <w:tcW w:w="2549" w:type="dxa"/>
            <w:tcMar>
              <w:top w:w="100" w:type="dxa"/>
              <w:left w:w="110" w:type="dxa"/>
              <w:bottom w:w="100" w:type="dxa"/>
              <w:right w:w="110" w:type="dxa"/>
            </w:tcMar>
            <w:vAlign w:val="center"/>
          </w:tcPr>
          <w:p w14:paraId="32DE4AF2"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7"/>
                <w:lang w:val="pl-PL"/>
              </w:rPr>
              <w:t>Marginalna widzialność kobiet</w:t>
            </w:r>
          </w:p>
        </w:tc>
        <w:tc>
          <w:tcPr>
            <w:tcW w:w="6408" w:type="dxa"/>
            <w:tcMar>
              <w:top w:w="100" w:type="dxa"/>
              <w:left w:w="110" w:type="dxa"/>
              <w:bottom w:w="100" w:type="dxa"/>
              <w:right w:w="110" w:type="dxa"/>
            </w:tcMar>
            <w:vAlign w:val="center"/>
          </w:tcPr>
          <w:p w14:paraId="14EE06BA"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7"/>
                <w:lang w:val="pl-PL"/>
              </w:rPr>
              <w:t>Kobiety wspominane w kilku zdaniach, dygresyjnie, bez wymagań egzaminacyjnych albo bez osobnego miejsca w sylabusie.</w:t>
            </w:r>
          </w:p>
        </w:tc>
      </w:tr>
      <w:tr w:rsidR="002334FE" w:rsidRPr="000D08DE" w14:paraId="1BBA0B57" w14:textId="77777777">
        <w:trPr>
          <w:cantSplit/>
          <w:jc w:val="center"/>
        </w:trPr>
        <w:tc>
          <w:tcPr>
            <w:tcW w:w="749" w:type="dxa"/>
            <w:shd w:val="clear" w:color="auto" w:fill="F3F4F6"/>
            <w:tcMar>
              <w:top w:w="100" w:type="dxa"/>
              <w:left w:w="110" w:type="dxa"/>
              <w:bottom w:w="100" w:type="dxa"/>
              <w:right w:w="110" w:type="dxa"/>
            </w:tcMar>
            <w:vAlign w:val="center"/>
          </w:tcPr>
          <w:p w14:paraId="2389C88A"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7"/>
                <w:lang w:val="pl-PL"/>
              </w:rPr>
              <w:t>B2</w:t>
            </w:r>
          </w:p>
        </w:tc>
        <w:tc>
          <w:tcPr>
            <w:tcW w:w="2549" w:type="dxa"/>
            <w:shd w:val="clear" w:color="auto" w:fill="F3F4F6"/>
            <w:tcMar>
              <w:top w:w="100" w:type="dxa"/>
              <w:left w:w="110" w:type="dxa"/>
              <w:bottom w:w="100" w:type="dxa"/>
              <w:right w:w="110" w:type="dxa"/>
            </w:tcMar>
            <w:vAlign w:val="center"/>
          </w:tcPr>
          <w:p w14:paraId="77DF21A8"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7"/>
                <w:lang w:val="pl-PL"/>
              </w:rPr>
              <w:t>Obecność relacyjna</w:t>
            </w:r>
          </w:p>
        </w:tc>
        <w:tc>
          <w:tcPr>
            <w:tcW w:w="6408" w:type="dxa"/>
            <w:shd w:val="clear" w:color="auto" w:fill="F3F4F6"/>
            <w:tcMar>
              <w:top w:w="100" w:type="dxa"/>
              <w:left w:w="110" w:type="dxa"/>
              <w:bottom w:w="100" w:type="dxa"/>
              <w:right w:w="110" w:type="dxa"/>
            </w:tcMar>
            <w:vAlign w:val="center"/>
          </w:tcPr>
          <w:p w14:paraId="461B2DD4"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7"/>
                <w:lang w:val="pl-PL"/>
              </w:rPr>
              <w:t>Kobieta przedstawiana jako żona, partnerka, matka, inspiratorka lub postać „przy” kanonicznym mężczyźnie.</w:t>
            </w:r>
          </w:p>
        </w:tc>
      </w:tr>
      <w:tr w:rsidR="002334FE" w:rsidRPr="000D08DE" w14:paraId="421B816E" w14:textId="77777777">
        <w:trPr>
          <w:cantSplit/>
          <w:jc w:val="center"/>
        </w:trPr>
        <w:tc>
          <w:tcPr>
            <w:tcW w:w="749" w:type="dxa"/>
            <w:tcMar>
              <w:top w:w="100" w:type="dxa"/>
              <w:left w:w="110" w:type="dxa"/>
              <w:bottom w:w="100" w:type="dxa"/>
              <w:right w:w="110" w:type="dxa"/>
            </w:tcMar>
            <w:vAlign w:val="center"/>
          </w:tcPr>
          <w:p w14:paraId="4B51BC9B"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7"/>
                <w:lang w:val="pl-PL"/>
              </w:rPr>
              <w:t>B3</w:t>
            </w:r>
          </w:p>
        </w:tc>
        <w:tc>
          <w:tcPr>
            <w:tcW w:w="2549" w:type="dxa"/>
            <w:tcMar>
              <w:top w:w="100" w:type="dxa"/>
              <w:left w:w="110" w:type="dxa"/>
              <w:bottom w:w="100" w:type="dxa"/>
              <w:right w:w="110" w:type="dxa"/>
            </w:tcMar>
            <w:vAlign w:val="center"/>
          </w:tcPr>
          <w:p w14:paraId="19BD6266"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7"/>
                <w:lang w:val="pl-PL"/>
              </w:rPr>
              <w:t>Kobieta jako samodzielna twórczyni</w:t>
            </w:r>
          </w:p>
        </w:tc>
        <w:tc>
          <w:tcPr>
            <w:tcW w:w="6408" w:type="dxa"/>
            <w:tcMar>
              <w:top w:w="100" w:type="dxa"/>
              <w:left w:w="110" w:type="dxa"/>
              <w:bottom w:w="100" w:type="dxa"/>
              <w:right w:w="110" w:type="dxa"/>
            </w:tcMar>
            <w:vAlign w:val="center"/>
          </w:tcPr>
          <w:p w14:paraId="11749F9A"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7"/>
                <w:lang w:val="pl-PL"/>
              </w:rPr>
              <w:t>Poglądy autorki omawiane jako odrębny wkład w ideę, doktrynę lub instytucję.</w:t>
            </w:r>
          </w:p>
        </w:tc>
      </w:tr>
      <w:tr w:rsidR="002334FE" w:rsidRPr="000D08DE" w14:paraId="359CD097" w14:textId="77777777">
        <w:trPr>
          <w:cantSplit/>
          <w:jc w:val="center"/>
        </w:trPr>
        <w:tc>
          <w:tcPr>
            <w:tcW w:w="749" w:type="dxa"/>
            <w:shd w:val="clear" w:color="auto" w:fill="F3F4F6"/>
            <w:tcMar>
              <w:top w:w="100" w:type="dxa"/>
              <w:left w:w="110" w:type="dxa"/>
              <w:bottom w:w="100" w:type="dxa"/>
              <w:right w:w="110" w:type="dxa"/>
            </w:tcMar>
            <w:vAlign w:val="center"/>
          </w:tcPr>
          <w:p w14:paraId="3441326D"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7"/>
                <w:lang w:val="pl-PL"/>
              </w:rPr>
              <w:t>B4</w:t>
            </w:r>
          </w:p>
        </w:tc>
        <w:tc>
          <w:tcPr>
            <w:tcW w:w="2549" w:type="dxa"/>
            <w:shd w:val="clear" w:color="auto" w:fill="F3F4F6"/>
            <w:tcMar>
              <w:top w:w="100" w:type="dxa"/>
              <w:left w:w="110" w:type="dxa"/>
              <w:bottom w:w="100" w:type="dxa"/>
              <w:right w:w="110" w:type="dxa"/>
            </w:tcMar>
            <w:vAlign w:val="center"/>
          </w:tcPr>
          <w:p w14:paraId="443854CB"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7"/>
                <w:lang w:val="pl-PL"/>
              </w:rPr>
              <w:t>Feminizm jako osobny blok tematyczny</w:t>
            </w:r>
          </w:p>
        </w:tc>
        <w:tc>
          <w:tcPr>
            <w:tcW w:w="6408" w:type="dxa"/>
            <w:shd w:val="clear" w:color="auto" w:fill="F3F4F6"/>
            <w:tcMar>
              <w:top w:w="100" w:type="dxa"/>
              <w:left w:w="110" w:type="dxa"/>
              <w:bottom w:w="100" w:type="dxa"/>
              <w:right w:w="110" w:type="dxa"/>
            </w:tcMar>
            <w:vAlign w:val="center"/>
          </w:tcPr>
          <w:p w14:paraId="4019B761"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7"/>
                <w:lang w:val="pl-PL"/>
              </w:rPr>
              <w:t>Obecność kobiet skupiona w bloku o falach feminizmu, zamiast rozproszona między różnymi nurtami.</w:t>
            </w:r>
          </w:p>
        </w:tc>
      </w:tr>
      <w:tr w:rsidR="002334FE" w:rsidRPr="000D08DE" w14:paraId="06283A9C" w14:textId="77777777">
        <w:trPr>
          <w:cantSplit/>
          <w:jc w:val="center"/>
        </w:trPr>
        <w:tc>
          <w:tcPr>
            <w:tcW w:w="749" w:type="dxa"/>
            <w:tcMar>
              <w:top w:w="100" w:type="dxa"/>
              <w:left w:w="110" w:type="dxa"/>
              <w:bottom w:w="100" w:type="dxa"/>
              <w:right w:w="110" w:type="dxa"/>
            </w:tcMar>
            <w:vAlign w:val="center"/>
          </w:tcPr>
          <w:p w14:paraId="5BFB0E37"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7"/>
                <w:lang w:val="pl-PL"/>
              </w:rPr>
              <w:t>B5</w:t>
            </w:r>
          </w:p>
        </w:tc>
        <w:tc>
          <w:tcPr>
            <w:tcW w:w="2549" w:type="dxa"/>
            <w:tcMar>
              <w:top w:w="100" w:type="dxa"/>
              <w:left w:w="110" w:type="dxa"/>
              <w:bottom w:w="100" w:type="dxa"/>
              <w:right w:w="110" w:type="dxa"/>
            </w:tcMar>
            <w:vAlign w:val="center"/>
          </w:tcPr>
          <w:p w14:paraId="495D3A42"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7"/>
                <w:lang w:val="pl-PL"/>
              </w:rPr>
              <w:t>Kobiety jako przedmiot idei</w:t>
            </w:r>
          </w:p>
        </w:tc>
        <w:tc>
          <w:tcPr>
            <w:tcW w:w="6408" w:type="dxa"/>
            <w:tcMar>
              <w:top w:w="100" w:type="dxa"/>
              <w:left w:w="110" w:type="dxa"/>
              <w:bottom w:w="100" w:type="dxa"/>
              <w:right w:w="110" w:type="dxa"/>
            </w:tcMar>
            <w:vAlign w:val="center"/>
          </w:tcPr>
          <w:p w14:paraId="1890CD7F"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7"/>
                <w:lang w:val="pl-PL"/>
              </w:rPr>
              <w:t>Omawianie statusu kobiet lub poglądów mężczyzn na kobiety bez prezentacji myśli tworzonej przez kobiety.</w:t>
            </w:r>
          </w:p>
        </w:tc>
      </w:tr>
      <w:tr w:rsidR="002334FE" w:rsidRPr="000D08DE" w14:paraId="00B5BB66" w14:textId="77777777">
        <w:trPr>
          <w:cantSplit/>
          <w:jc w:val="center"/>
        </w:trPr>
        <w:tc>
          <w:tcPr>
            <w:tcW w:w="749" w:type="dxa"/>
            <w:shd w:val="clear" w:color="auto" w:fill="F3F4F6"/>
            <w:tcMar>
              <w:top w:w="100" w:type="dxa"/>
              <w:left w:w="110" w:type="dxa"/>
              <w:bottom w:w="100" w:type="dxa"/>
              <w:right w:w="110" w:type="dxa"/>
            </w:tcMar>
            <w:vAlign w:val="center"/>
          </w:tcPr>
          <w:p w14:paraId="505D325C"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7"/>
                <w:lang w:val="pl-PL"/>
              </w:rPr>
              <w:t>C1</w:t>
            </w:r>
          </w:p>
        </w:tc>
        <w:tc>
          <w:tcPr>
            <w:tcW w:w="2549" w:type="dxa"/>
            <w:shd w:val="clear" w:color="auto" w:fill="F3F4F6"/>
            <w:tcMar>
              <w:top w:w="100" w:type="dxa"/>
              <w:left w:w="110" w:type="dxa"/>
              <w:bottom w:w="100" w:type="dxa"/>
              <w:right w:w="110" w:type="dxa"/>
            </w:tcMar>
            <w:vAlign w:val="center"/>
          </w:tcPr>
          <w:p w14:paraId="2261DC66"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7"/>
                <w:lang w:val="pl-PL"/>
              </w:rPr>
              <w:t>Historyczne mechanizmy wykluczenia</w:t>
            </w:r>
          </w:p>
        </w:tc>
        <w:tc>
          <w:tcPr>
            <w:tcW w:w="6408" w:type="dxa"/>
            <w:shd w:val="clear" w:color="auto" w:fill="F3F4F6"/>
            <w:tcMar>
              <w:top w:w="100" w:type="dxa"/>
              <w:left w:w="110" w:type="dxa"/>
              <w:bottom w:w="100" w:type="dxa"/>
              <w:right w:w="110" w:type="dxa"/>
            </w:tcMar>
            <w:vAlign w:val="center"/>
          </w:tcPr>
          <w:p w14:paraId="1F50FAE4"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7"/>
                <w:lang w:val="pl-PL"/>
              </w:rPr>
              <w:t>Ograniczony dostęp do edukacji, autorstwa, sfery publicznej i uznania; ukryte lub przypisywane mężczyznom współautorstwo.</w:t>
            </w:r>
          </w:p>
        </w:tc>
      </w:tr>
      <w:tr w:rsidR="002334FE" w:rsidRPr="000D08DE" w14:paraId="260CEF34" w14:textId="77777777">
        <w:trPr>
          <w:cantSplit/>
          <w:jc w:val="center"/>
        </w:trPr>
        <w:tc>
          <w:tcPr>
            <w:tcW w:w="749" w:type="dxa"/>
            <w:tcMar>
              <w:top w:w="100" w:type="dxa"/>
              <w:left w:w="110" w:type="dxa"/>
              <w:bottom w:w="100" w:type="dxa"/>
              <w:right w:w="110" w:type="dxa"/>
            </w:tcMar>
            <w:vAlign w:val="center"/>
          </w:tcPr>
          <w:p w14:paraId="56E2DEDE"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7"/>
                <w:lang w:val="pl-PL"/>
              </w:rPr>
              <w:t>C2</w:t>
            </w:r>
          </w:p>
        </w:tc>
        <w:tc>
          <w:tcPr>
            <w:tcW w:w="2549" w:type="dxa"/>
            <w:tcMar>
              <w:top w:w="100" w:type="dxa"/>
              <w:left w:w="110" w:type="dxa"/>
              <w:bottom w:w="100" w:type="dxa"/>
              <w:right w:w="110" w:type="dxa"/>
            </w:tcMar>
            <w:vAlign w:val="center"/>
          </w:tcPr>
          <w:p w14:paraId="588CC7EF"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7"/>
                <w:lang w:val="pl-PL"/>
              </w:rPr>
              <w:t>Narracja niedoboru i neutralność płciowa</w:t>
            </w:r>
          </w:p>
        </w:tc>
        <w:tc>
          <w:tcPr>
            <w:tcW w:w="6408" w:type="dxa"/>
            <w:tcMar>
              <w:top w:w="100" w:type="dxa"/>
              <w:left w:w="110" w:type="dxa"/>
              <w:bottom w:w="100" w:type="dxa"/>
              <w:right w:w="110" w:type="dxa"/>
            </w:tcMar>
            <w:vAlign w:val="center"/>
          </w:tcPr>
          <w:p w14:paraId="2BDF0699"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7"/>
                <w:lang w:val="pl-PL"/>
              </w:rPr>
              <w:t>Wyjaśnienie, że kobiet „było mniej”, a płeć nie powinna być kryterium; nacisk na zasługę, jakość lub wpływ.</w:t>
            </w:r>
          </w:p>
        </w:tc>
      </w:tr>
      <w:tr w:rsidR="002334FE" w:rsidRPr="000D08DE" w14:paraId="45014C3E" w14:textId="77777777">
        <w:trPr>
          <w:cantSplit/>
          <w:jc w:val="center"/>
        </w:trPr>
        <w:tc>
          <w:tcPr>
            <w:tcW w:w="749" w:type="dxa"/>
            <w:shd w:val="clear" w:color="auto" w:fill="F3F4F6"/>
            <w:tcMar>
              <w:top w:w="100" w:type="dxa"/>
              <w:left w:w="110" w:type="dxa"/>
              <w:bottom w:w="100" w:type="dxa"/>
              <w:right w:w="110" w:type="dxa"/>
            </w:tcMar>
            <w:vAlign w:val="center"/>
          </w:tcPr>
          <w:p w14:paraId="59416CA4"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7"/>
                <w:lang w:val="pl-PL"/>
              </w:rPr>
              <w:t>C3</w:t>
            </w:r>
          </w:p>
        </w:tc>
        <w:tc>
          <w:tcPr>
            <w:tcW w:w="2549" w:type="dxa"/>
            <w:shd w:val="clear" w:color="auto" w:fill="F3F4F6"/>
            <w:tcMar>
              <w:top w:w="100" w:type="dxa"/>
              <w:left w:w="110" w:type="dxa"/>
              <w:bottom w:w="100" w:type="dxa"/>
              <w:right w:w="110" w:type="dxa"/>
            </w:tcMar>
            <w:vAlign w:val="center"/>
          </w:tcPr>
          <w:p w14:paraId="3DF1A5BF"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7"/>
                <w:lang w:val="pl-PL"/>
              </w:rPr>
              <w:t>Bariery środowiskowe</w:t>
            </w:r>
          </w:p>
        </w:tc>
        <w:tc>
          <w:tcPr>
            <w:tcW w:w="6408" w:type="dxa"/>
            <w:shd w:val="clear" w:color="auto" w:fill="F3F4F6"/>
            <w:tcMar>
              <w:top w:w="100" w:type="dxa"/>
              <w:left w:w="110" w:type="dxa"/>
              <w:bottom w:w="100" w:type="dxa"/>
              <w:right w:w="110" w:type="dxa"/>
            </w:tcMar>
            <w:vAlign w:val="center"/>
          </w:tcPr>
          <w:p w14:paraId="7A7065E0"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7"/>
                <w:lang w:val="pl-PL"/>
              </w:rPr>
              <w:t xml:space="preserve">Maskulinizacja dyscypliny, niechęć do pojęcia </w:t>
            </w:r>
            <w:proofErr w:type="spellStart"/>
            <w:r w:rsidRPr="000D08DE">
              <w:rPr>
                <w:rFonts w:ascii="Times New Roman" w:hAnsi="Times New Roman" w:cs="Times New Roman"/>
                <w:color w:val="000000"/>
                <w:sz w:val="17"/>
                <w:lang w:val="pl-PL"/>
              </w:rPr>
              <w:t>gender</w:t>
            </w:r>
            <w:proofErr w:type="spellEnd"/>
            <w:r w:rsidRPr="000D08DE">
              <w:rPr>
                <w:rFonts w:ascii="Times New Roman" w:hAnsi="Times New Roman" w:cs="Times New Roman"/>
                <w:color w:val="000000"/>
                <w:sz w:val="17"/>
                <w:lang w:val="pl-PL"/>
              </w:rPr>
              <w:t>, szyderstwo, hierarchia katedry lub ryzyko ideologicznej etykiety.</w:t>
            </w:r>
          </w:p>
        </w:tc>
      </w:tr>
      <w:tr w:rsidR="002334FE" w:rsidRPr="000D08DE" w14:paraId="4BB1BC20" w14:textId="77777777">
        <w:trPr>
          <w:cantSplit/>
          <w:jc w:val="center"/>
        </w:trPr>
        <w:tc>
          <w:tcPr>
            <w:tcW w:w="749" w:type="dxa"/>
            <w:tcMar>
              <w:top w:w="100" w:type="dxa"/>
              <w:left w:w="110" w:type="dxa"/>
              <w:bottom w:w="100" w:type="dxa"/>
              <w:right w:w="110" w:type="dxa"/>
            </w:tcMar>
            <w:vAlign w:val="center"/>
          </w:tcPr>
          <w:p w14:paraId="5DD6C8C1"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7"/>
                <w:lang w:val="pl-PL"/>
              </w:rPr>
              <w:t>C4</w:t>
            </w:r>
          </w:p>
        </w:tc>
        <w:tc>
          <w:tcPr>
            <w:tcW w:w="2549" w:type="dxa"/>
            <w:tcMar>
              <w:top w:w="100" w:type="dxa"/>
              <w:left w:w="110" w:type="dxa"/>
              <w:bottom w:w="100" w:type="dxa"/>
              <w:right w:w="110" w:type="dxa"/>
            </w:tcMar>
            <w:vAlign w:val="center"/>
          </w:tcPr>
          <w:p w14:paraId="13E072FA"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7"/>
                <w:lang w:val="pl-PL"/>
              </w:rPr>
              <w:t>Brak opracowań i materiałów</w:t>
            </w:r>
          </w:p>
        </w:tc>
        <w:tc>
          <w:tcPr>
            <w:tcW w:w="6408" w:type="dxa"/>
            <w:tcMar>
              <w:top w:w="100" w:type="dxa"/>
              <w:left w:w="110" w:type="dxa"/>
              <w:bottom w:w="100" w:type="dxa"/>
              <w:right w:w="110" w:type="dxa"/>
            </w:tcMar>
            <w:vAlign w:val="center"/>
          </w:tcPr>
          <w:p w14:paraId="24A792A6"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7"/>
                <w:lang w:val="pl-PL"/>
              </w:rPr>
              <w:t>Niewystarczające badania, edycje źródeł, podręczniki i łatwo dostępne materiały o myśli kobiet.</w:t>
            </w:r>
          </w:p>
        </w:tc>
      </w:tr>
      <w:tr w:rsidR="002334FE" w:rsidRPr="000D08DE" w14:paraId="3C464F7F" w14:textId="77777777">
        <w:trPr>
          <w:cantSplit/>
          <w:jc w:val="center"/>
        </w:trPr>
        <w:tc>
          <w:tcPr>
            <w:tcW w:w="749" w:type="dxa"/>
            <w:shd w:val="clear" w:color="auto" w:fill="F3F4F6"/>
            <w:tcMar>
              <w:top w:w="100" w:type="dxa"/>
              <w:left w:w="110" w:type="dxa"/>
              <w:bottom w:w="100" w:type="dxa"/>
              <w:right w:w="110" w:type="dxa"/>
            </w:tcMar>
            <w:vAlign w:val="center"/>
          </w:tcPr>
          <w:p w14:paraId="7C8AFEF3"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7"/>
                <w:lang w:val="pl-PL"/>
              </w:rPr>
              <w:t>D1</w:t>
            </w:r>
          </w:p>
        </w:tc>
        <w:tc>
          <w:tcPr>
            <w:tcW w:w="2549" w:type="dxa"/>
            <w:shd w:val="clear" w:color="auto" w:fill="F3F4F6"/>
            <w:tcMar>
              <w:top w:w="100" w:type="dxa"/>
              <w:left w:w="110" w:type="dxa"/>
              <w:bottom w:w="100" w:type="dxa"/>
              <w:right w:w="110" w:type="dxa"/>
            </w:tcMar>
            <w:vAlign w:val="center"/>
          </w:tcPr>
          <w:p w14:paraId="7B639C9F"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7"/>
                <w:lang w:val="pl-PL"/>
              </w:rPr>
              <w:t>Podręcznik jako kotwica kanonu</w:t>
            </w:r>
          </w:p>
        </w:tc>
        <w:tc>
          <w:tcPr>
            <w:tcW w:w="6408" w:type="dxa"/>
            <w:shd w:val="clear" w:color="auto" w:fill="F3F4F6"/>
            <w:tcMar>
              <w:top w:w="100" w:type="dxa"/>
              <w:left w:w="110" w:type="dxa"/>
              <w:bottom w:w="100" w:type="dxa"/>
              <w:right w:w="110" w:type="dxa"/>
            </w:tcMar>
            <w:vAlign w:val="center"/>
          </w:tcPr>
          <w:p w14:paraId="377C72A1"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7"/>
                <w:lang w:val="pl-PL"/>
              </w:rPr>
              <w:t>Podręcznik organizuje sylabus, egzamin i minimum wiedzy, nawet gdy studenci rzadko go czytają.</w:t>
            </w:r>
          </w:p>
        </w:tc>
      </w:tr>
      <w:tr w:rsidR="002334FE" w:rsidRPr="000D08DE" w14:paraId="0A030292" w14:textId="77777777">
        <w:trPr>
          <w:cantSplit/>
          <w:jc w:val="center"/>
        </w:trPr>
        <w:tc>
          <w:tcPr>
            <w:tcW w:w="749" w:type="dxa"/>
            <w:tcMar>
              <w:top w:w="100" w:type="dxa"/>
              <w:left w:w="110" w:type="dxa"/>
              <w:bottom w:w="100" w:type="dxa"/>
              <w:right w:w="110" w:type="dxa"/>
            </w:tcMar>
            <w:vAlign w:val="center"/>
          </w:tcPr>
          <w:p w14:paraId="7064A023"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7"/>
                <w:lang w:val="pl-PL"/>
              </w:rPr>
              <w:t>D2</w:t>
            </w:r>
          </w:p>
        </w:tc>
        <w:tc>
          <w:tcPr>
            <w:tcW w:w="2549" w:type="dxa"/>
            <w:tcMar>
              <w:top w:w="100" w:type="dxa"/>
              <w:left w:w="110" w:type="dxa"/>
              <w:bottom w:w="100" w:type="dxa"/>
              <w:right w:w="110" w:type="dxa"/>
            </w:tcMar>
            <w:vAlign w:val="center"/>
          </w:tcPr>
          <w:p w14:paraId="5F605939"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7"/>
                <w:lang w:val="pl-PL"/>
              </w:rPr>
              <w:t>Materiały autorskie i źródłowe</w:t>
            </w:r>
          </w:p>
        </w:tc>
        <w:tc>
          <w:tcPr>
            <w:tcW w:w="6408" w:type="dxa"/>
            <w:tcMar>
              <w:top w:w="100" w:type="dxa"/>
              <w:left w:w="110" w:type="dxa"/>
              <w:bottom w:w="100" w:type="dxa"/>
              <w:right w:w="110" w:type="dxa"/>
            </w:tcMar>
            <w:vAlign w:val="center"/>
          </w:tcPr>
          <w:p w14:paraId="0E4BB8F3"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7"/>
                <w:lang w:val="pl-PL"/>
              </w:rPr>
              <w:t>Prezentacje, skrypty, teksty źródłowe, nagrania i inne materiały pozwalające rozszerzać albo obchodzić podręcznik.</w:t>
            </w:r>
          </w:p>
        </w:tc>
      </w:tr>
      <w:tr w:rsidR="002334FE" w:rsidRPr="000D08DE" w14:paraId="1BAF745D" w14:textId="77777777">
        <w:trPr>
          <w:cantSplit/>
          <w:jc w:val="center"/>
        </w:trPr>
        <w:tc>
          <w:tcPr>
            <w:tcW w:w="749" w:type="dxa"/>
            <w:shd w:val="clear" w:color="auto" w:fill="F3F4F6"/>
            <w:tcMar>
              <w:top w:w="100" w:type="dxa"/>
              <w:left w:w="110" w:type="dxa"/>
              <w:bottom w:w="100" w:type="dxa"/>
              <w:right w:w="110" w:type="dxa"/>
            </w:tcMar>
            <w:vAlign w:val="center"/>
          </w:tcPr>
          <w:p w14:paraId="308648AC"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7"/>
                <w:lang w:val="pl-PL"/>
              </w:rPr>
              <w:t>E1</w:t>
            </w:r>
          </w:p>
        </w:tc>
        <w:tc>
          <w:tcPr>
            <w:tcW w:w="2549" w:type="dxa"/>
            <w:shd w:val="clear" w:color="auto" w:fill="F3F4F6"/>
            <w:tcMar>
              <w:top w:w="100" w:type="dxa"/>
              <w:left w:w="110" w:type="dxa"/>
              <w:bottom w:w="100" w:type="dxa"/>
              <w:right w:w="110" w:type="dxa"/>
            </w:tcMar>
            <w:vAlign w:val="center"/>
          </w:tcPr>
          <w:p w14:paraId="2A9EB9B7"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7"/>
                <w:lang w:val="pl-PL"/>
              </w:rPr>
              <w:t>Zmiana ewolucyjna lub problemowa</w:t>
            </w:r>
          </w:p>
        </w:tc>
        <w:tc>
          <w:tcPr>
            <w:tcW w:w="6408" w:type="dxa"/>
            <w:shd w:val="clear" w:color="auto" w:fill="F3F4F6"/>
            <w:tcMar>
              <w:top w:w="100" w:type="dxa"/>
              <w:left w:w="110" w:type="dxa"/>
              <w:bottom w:w="100" w:type="dxa"/>
              <w:right w:w="110" w:type="dxa"/>
            </w:tcMar>
            <w:vAlign w:val="center"/>
          </w:tcPr>
          <w:p w14:paraId="2647630B"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7"/>
                <w:lang w:val="pl-PL"/>
              </w:rPr>
              <w:t>Poparcie dla stopniowego poszerzenia, przebudowy problemowej, nowych materiałów lub włączenia kobiet do różnych nurtów.</w:t>
            </w:r>
          </w:p>
        </w:tc>
      </w:tr>
      <w:tr w:rsidR="002334FE" w:rsidRPr="000D08DE" w14:paraId="4E68AA3B" w14:textId="77777777">
        <w:trPr>
          <w:cantSplit/>
          <w:jc w:val="center"/>
        </w:trPr>
        <w:tc>
          <w:tcPr>
            <w:tcW w:w="749" w:type="dxa"/>
            <w:tcMar>
              <w:top w:w="100" w:type="dxa"/>
              <w:left w:w="110" w:type="dxa"/>
              <w:bottom w:w="100" w:type="dxa"/>
              <w:right w:w="110" w:type="dxa"/>
            </w:tcMar>
            <w:vAlign w:val="center"/>
          </w:tcPr>
          <w:p w14:paraId="350FE5AF"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7"/>
                <w:lang w:val="pl-PL"/>
              </w:rPr>
              <w:t>E2</w:t>
            </w:r>
          </w:p>
        </w:tc>
        <w:tc>
          <w:tcPr>
            <w:tcW w:w="2549" w:type="dxa"/>
            <w:tcMar>
              <w:top w:w="100" w:type="dxa"/>
              <w:left w:w="110" w:type="dxa"/>
              <w:bottom w:w="100" w:type="dxa"/>
              <w:right w:w="110" w:type="dxa"/>
            </w:tcMar>
            <w:vAlign w:val="center"/>
          </w:tcPr>
          <w:p w14:paraId="3DEB3281"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7"/>
                <w:lang w:val="pl-PL"/>
              </w:rPr>
              <w:t>Obawa przed parytetem i prezentyzmem</w:t>
            </w:r>
          </w:p>
        </w:tc>
        <w:tc>
          <w:tcPr>
            <w:tcW w:w="6408" w:type="dxa"/>
            <w:tcMar>
              <w:top w:w="100" w:type="dxa"/>
              <w:left w:w="110" w:type="dxa"/>
              <w:bottom w:w="100" w:type="dxa"/>
              <w:right w:w="110" w:type="dxa"/>
            </w:tcMar>
            <w:vAlign w:val="center"/>
          </w:tcPr>
          <w:p w14:paraId="02FD6718"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7"/>
                <w:lang w:val="pl-PL"/>
              </w:rPr>
              <w:t>Sprzeciw wobec odgórnych kwot, „dopisywania” postaci, aktywizmu, inżynierii społecznej albo oceniania przeszłości według dzisiejszych norm.</w:t>
            </w:r>
          </w:p>
        </w:tc>
      </w:tr>
      <w:tr w:rsidR="002334FE" w:rsidRPr="000D08DE" w14:paraId="38866E1E" w14:textId="77777777">
        <w:trPr>
          <w:cantSplit/>
          <w:jc w:val="center"/>
        </w:trPr>
        <w:tc>
          <w:tcPr>
            <w:tcW w:w="749" w:type="dxa"/>
            <w:shd w:val="clear" w:color="auto" w:fill="F3F4F6"/>
            <w:tcMar>
              <w:top w:w="100" w:type="dxa"/>
              <w:left w:w="110" w:type="dxa"/>
              <w:bottom w:w="100" w:type="dxa"/>
              <w:right w:w="110" w:type="dxa"/>
            </w:tcMar>
            <w:vAlign w:val="center"/>
          </w:tcPr>
          <w:p w14:paraId="20578137"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7"/>
                <w:lang w:val="pl-PL"/>
              </w:rPr>
              <w:t>E3</w:t>
            </w:r>
          </w:p>
        </w:tc>
        <w:tc>
          <w:tcPr>
            <w:tcW w:w="2549" w:type="dxa"/>
            <w:shd w:val="clear" w:color="auto" w:fill="F3F4F6"/>
            <w:tcMar>
              <w:top w:w="100" w:type="dxa"/>
              <w:left w:w="110" w:type="dxa"/>
              <w:bottom w:w="100" w:type="dxa"/>
              <w:right w:w="110" w:type="dxa"/>
            </w:tcMar>
            <w:vAlign w:val="center"/>
          </w:tcPr>
          <w:p w14:paraId="5804D50C"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7"/>
                <w:lang w:val="pl-PL"/>
              </w:rPr>
              <w:t>Wywiad jako impuls refleksyjny</w:t>
            </w:r>
          </w:p>
        </w:tc>
        <w:tc>
          <w:tcPr>
            <w:tcW w:w="6408" w:type="dxa"/>
            <w:shd w:val="clear" w:color="auto" w:fill="F3F4F6"/>
            <w:tcMar>
              <w:top w:w="100" w:type="dxa"/>
              <w:left w:w="110" w:type="dxa"/>
              <w:bottom w:w="100" w:type="dxa"/>
              <w:right w:w="110" w:type="dxa"/>
            </w:tcMar>
            <w:vAlign w:val="center"/>
          </w:tcPr>
          <w:p w14:paraId="4C6E24CB" w14:textId="50B44A6E"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7"/>
                <w:lang w:val="pl-PL"/>
              </w:rPr>
              <w:t xml:space="preserve">Deklaracja, że pytania uruchomiły </w:t>
            </w:r>
            <w:r w:rsidR="00CB5C3F" w:rsidRPr="000D08DE">
              <w:rPr>
                <w:rFonts w:ascii="Times New Roman" w:hAnsi="Times New Roman" w:cs="Times New Roman"/>
                <w:color w:val="000000"/>
                <w:sz w:val="17"/>
                <w:lang w:val="pl-PL"/>
              </w:rPr>
              <w:t>refleksję</w:t>
            </w:r>
            <w:r w:rsidRPr="000D08DE">
              <w:rPr>
                <w:rFonts w:ascii="Times New Roman" w:hAnsi="Times New Roman" w:cs="Times New Roman"/>
                <w:color w:val="000000"/>
                <w:sz w:val="17"/>
                <w:lang w:val="pl-PL"/>
              </w:rPr>
              <w:t>, ujawniły brak</w:t>
            </w:r>
            <w:r w:rsidR="00CB5C3F" w:rsidRPr="000D08DE">
              <w:rPr>
                <w:rFonts w:ascii="Times New Roman" w:hAnsi="Times New Roman" w:cs="Times New Roman"/>
                <w:color w:val="000000"/>
                <w:sz w:val="17"/>
                <w:lang w:val="pl-PL"/>
              </w:rPr>
              <w:t>i</w:t>
            </w:r>
            <w:r w:rsidRPr="000D08DE">
              <w:rPr>
                <w:rFonts w:ascii="Times New Roman" w:hAnsi="Times New Roman" w:cs="Times New Roman"/>
                <w:color w:val="000000"/>
                <w:sz w:val="17"/>
                <w:lang w:val="pl-PL"/>
              </w:rPr>
              <w:t xml:space="preserve"> lub mogą wpłynąć na przyszły sposób nauczania.</w:t>
            </w:r>
          </w:p>
        </w:tc>
      </w:tr>
      <w:tr w:rsidR="002334FE" w:rsidRPr="000D08DE" w14:paraId="79F54F43" w14:textId="77777777">
        <w:trPr>
          <w:cantSplit/>
          <w:jc w:val="center"/>
        </w:trPr>
        <w:tc>
          <w:tcPr>
            <w:tcW w:w="749" w:type="dxa"/>
            <w:tcMar>
              <w:top w:w="100" w:type="dxa"/>
              <w:left w:w="110" w:type="dxa"/>
              <w:bottom w:w="100" w:type="dxa"/>
              <w:right w:w="110" w:type="dxa"/>
            </w:tcMar>
            <w:vAlign w:val="center"/>
          </w:tcPr>
          <w:p w14:paraId="183B3DBB"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7"/>
                <w:lang w:val="pl-PL"/>
              </w:rPr>
              <w:t>E4</w:t>
            </w:r>
          </w:p>
        </w:tc>
        <w:tc>
          <w:tcPr>
            <w:tcW w:w="2549" w:type="dxa"/>
            <w:tcMar>
              <w:top w:w="100" w:type="dxa"/>
              <w:left w:w="110" w:type="dxa"/>
              <w:bottom w:w="100" w:type="dxa"/>
              <w:right w:w="110" w:type="dxa"/>
            </w:tcMar>
            <w:vAlign w:val="center"/>
          </w:tcPr>
          <w:p w14:paraId="33BBF7B1"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7"/>
                <w:lang w:val="pl-PL"/>
              </w:rPr>
              <w:t>Zapotrzebowanie studenckie</w:t>
            </w:r>
          </w:p>
        </w:tc>
        <w:tc>
          <w:tcPr>
            <w:tcW w:w="6408" w:type="dxa"/>
            <w:tcMar>
              <w:top w:w="100" w:type="dxa"/>
              <w:left w:w="110" w:type="dxa"/>
              <w:bottom w:w="100" w:type="dxa"/>
              <w:right w:w="110" w:type="dxa"/>
            </w:tcMar>
            <w:vAlign w:val="center"/>
          </w:tcPr>
          <w:p w14:paraId="4D1A0316"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7"/>
                <w:lang w:val="pl-PL"/>
              </w:rPr>
              <w:t>Pytania studentek, feminizacja grup, zainteresowanie seminariami lub — przeciwnie — brak zainteresowania przedmiotem dodatkowym.</w:t>
            </w:r>
          </w:p>
        </w:tc>
      </w:tr>
      <w:tr w:rsidR="002334FE" w:rsidRPr="000D08DE" w14:paraId="38B3A05E" w14:textId="77777777">
        <w:trPr>
          <w:cantSplit/>
          <w:jc w:val="center"/>
        </w:trPr>
        <w:tc>
          <w:tcPr>
            <w:tcW w:w="749" w:type="dxa"/>
            <w:shd w:val="clear" w:color="auto" w:fill="F3F4F6"/>
            <w:tcMar>
              <w:top w:w="100" w:type="dxa"/>
              <w:left w:w="110" w:type="dxa"/>
              <w:bottom w:w="100" w:type="dxa"/>
              <w:right w:w="110" w:type="dxa"/>
            </w:tcMar>
            <w:vAlign w:val="center"/>
          </w:tcPr>
          <w:p w14:paraId="52EEA93C"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7"/>
                <w:lang w:val="pl-PL"/>
              </w:rPr>
              <w:t>E5</w:t>
            </w:r>
          </w:p>
        </w:tc>
        <w:tc>
          <w:tcPr>
            <w:tcW w:w="2549" w:type="dxa"/>
            <w:shd w:val="clear" w:color="auto" w:fill="F3F4F6"/>
            <w:tcMar>
              <w:top w:w="100" w:type="dxa"/>
              <w:left w:w="110" w:type="dxa"/>
              <w:bottom w:w="100" w:type="dxa"/>
              <w:right w:w="110" w:type="dxa"/>
            </w:tcMar>
            <w:vAlign w:val="center"/>
          </w:tcPr>
          <w:p w14:paraId="28DF5238"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7"/>
                <w:lang w:val="pl-PL"/>
              </w:rPr>
              <w:t>Nieporównywalność międzynarodowa</w:t>
            </w:r>
          </w:p>
        </w:tc>
        <w:tc>
          <w:tcPr>
            <w:tcW w:w="6408" w:type="dxa"/>
            <w:shd w:val="clear" w:color="auto" w:fill="F3F4F6"/>
            <w:tcMar>
              <w:top w:w="100" w:type="dxa"/>
              <w:left w:w="110" w:type="dxa"/>
              <w:bottom w:w="100" w:type="dxa"/>
              <w:right w:w="110" w:type="dxa"/>
            </w:tcMar>
            <w:vAlign w:val="center"/>
          </w:tcPr>
          <w:p w14:paraId="1A61E5A5"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7"/>
                <w:lang w:val="pl-PL"/>
              </w:rPr>
              <w:t>Ograniczone doświadczenie porównawcze i odmienność organizacji historii idei, filozofii prawa i doktryn za granicą.</w:t>
            </w:r>
          </w:p>
        </w:tc>
      </w:tr>
    </w:tbl>
    <w:p w14:paraId="5E1BFD2E" w14:textId="77777777" w:rsidR="002334FE" w:rsidRPr="000D08DE" w:rsidRDefault="002334FE">
      <w:pPr>
        <w:spacing w:after="20"/>
        <w:rPr>
          <w:rFonts w:ascii="Times New Roman" w:hAnsi="Times New Roman" w:cs="Times New Roman"/>
          <w:lang w:val="pl-PL"/>
        </w:rPr>
      </w:pPr>
    </w:p>
    <w:p w14:paraId="72CCAF0A" w14:textId="0D415BB4" w:rsidR="002334FE" w:rsidRPr="000D08DE" w:rsidRDefault="00440E91" w:rsidP="006017AC">
      <w:pPr>
        <w:pStyle w:val="Nagwek1"/>
        <w:numPr>
          <w:ilvl w:val="0"/>
          <w:numId w:val="10"/>
        </w:numPr>
        <w:rPr>
          <w:rFonts w:ascii="Times New Roman" w:hAnsi="Times New Roman" w:cs="Times New Roman"/>
          <w:lang w:val="pl-PL"/>
        </w:rPr>
      </w:pPr>
      <w:r w:rsidRPr="000D08DE">
        <w:rPr>
          <w:rFonts w:ascii="Times New Roman" w:hAnsi="Times New Roman" w:cs="Times New Roman"/>
          <w:lang w:val="pl-PL"/>
        </w:rPr>
        <w:lastRenderedPageBreak/>
        <w:t>Tematy przekrojowe</w:t>
      </w:r>
    </w:p>
    <w:p w14:paraId="316410F7" w14:textId="7A14B0B0" w:rsidR="002334FE" w:rsidRPr="000D08DE" w:rsidRDefault="00321383" w:rsidP="003D2994">
      <w:pPr>
        <w:pStyle w:val="Nagwek2"/>
        <w:numPr>
          <w:ilvl w:val="1"/>
          <w:numId w:val="10"/>
        </w:numPr>
        <w:rPr>
          <w:rFonts w:ascii="Times New Roman" w:hAnsi="Times New Roman" w:cs="Times New Roman"/>
          <w:lang w:val="pl-PL"/>
        </w:rPr>
      </w:pPr>
      <w:r w:rsidRPr="000D08DE">
        <w:rPr>
          <w:rFonts w:ascii="Times New Roman" w:hAnsi="Times New Roman" w:cs="Times New Roman"/>
          <w:lang w:val="pl-PL"/>
        </w:rPr>
        <w:t>Deklarowany cel dydaktyczny</w:t>
      </w:r>
      <w:r w:rsidR="00440E91" w:rsidRPr="000D08DE">
        <w:rPr>
          <w:rFonts w:ascii="Times New Roman" w:hAnsi="Times New Roman" w:cs="Times New Roman"/>
          <w:lang w:val="pl-PL"/>
        </w:rPr>
        <w:t xml:space="preserve"> przedmiotu </w:t>
      </w:r>
    </w:p>
    <w:p w14:paraId="66EB90A5" w14:textId="77777777" w:rsidR="002334FE" w:rsidRPr="000D08DE" w:rsidRDefault="00440E91" w:rsidP="00EE01BF">
      <w:pPr>
        <w:jc w:val="both"/>
        <w:rPr>
          <w:rFonts w:ascii="Times New Roman" w:hAnsi="Times New Roman" w:cs="Times New Roman"/>
          <w:lang w:val="pl-PL"/>
        </w:rPr>
      </w:pPr>
      <w:r w:rsidRPr="000D08DE">
        <w:rPr>
          <w:rFonts w:ascii="Times New Roman" w:hAnsi="Times New Roman" w:cs="Times New Roman"/>
          <w:lang w:val="pl-PL"/>
        </w:rPr>
        <w:t xml:space="preserve">W niemal wszystkich rozmowach doktryny przedstawiane są jako przedmiot </w:t>
      </w:r>
      <w:proofErr w:type="spellStart"/>
      <w:r w:rsidRPr="000D08DE">
        <w:rPr>
          <w:rFonts w:ascii="Times New Roman" w:hAnsi="Times New Roman" w:cs="Times New Roman"/>
          <w:lang w:val="pl-PL"/>
        </w:rPr>
        <w:t>metaprawny</w:t>
      </w:r>
      <w:proofErr w:type="spellEnd"/>
      <w:r w:rsidRPr="000D08DE">
        <w:rPr>
          <w:rFonts w:ascii="Times New Roman" w:hAnsi="Times New Roman" w:cs="Times New Roman"/>
          <w:lang w:val="pl-PL"/>
        </w:rPr>
        <w:t>: mają uczyć myślenia, ujawniać aksjologię prawa, pokazywać związki prawa z polityką i pozwalać rozumieć współczesność. Jednocześnie dobór postaci bywa uzasadniany jako oczywisty rezultat ich „wpływu”, „wagi” lub „przełomowości”. Tylko część rozmówców problematyzuje fakt, że miary wpływu są utrwalane przez podręczniki, egzaminy, tradycję katedry i wcześniejsze badania. Powstaje zatem główne napięcie materiału: przedmiot uczy krytyki zastanych kategorii, ale sam kanon bywa traktowany jako kategoria</w:t>
      </w:r>
      <w:r w:rsidRPr="000D08DE">
        <w:rPr>
          <w:rFonts w:ascii="Times New Roman" w:hAnsi="Times New Roman" w:cs="Times New Roman"/>
          <w:lang w:val="pl-PL"/>
        </w:rPr>
        <w:t xml:space="preserve"> zastana.</w:t>
      </w:r>
    </w:p>
    <w:p w14:paraId="7618FDA1" w14:textId="57EFED63" w:rsidR="002334FE" w:rsidRPr="000D08DE" w:rsidRDefault="00440E91">
      <w:pPr>
        <w:pStyle w:val="Cytat"/>
        <w:rPr>
          <w:rFonts w:ascii="Times New Roman" w:hAnsi="Times New Roman" w:cs="Times New Roman"/>
          <w:lang w:val="pl-PL"/>
        </w:rPr>
      </w:pPr>
      <w:r w:rsidRPr="000D08DE">
        <w:rPr>
          <w:rFonts w:ascii="Times New Roman" w:hAnsi="Times New Roman" w:cs="Times New Roman"/>
          <w:lang w:val="pl-PL"/>
        </w:rPr>
        <w:t>„To jest kanon i jest pewna instytucjonalna [...] oraz intelektualna inercja, która [...] zmusza nas do operowania na [...] zestawie tych samych nazwisk od kilkudziesięciu lat.”</w:t>
      </w:r>
      <w:r w:rsidRPr="000D08DE">
        <w:rPr>
          <w:rFonts w:ascii="Times New Roman" w:hAnsi="Times New Roman" w:cs="Times New Roman"/>
          <w:b/>
          <w:lang w:val="pl-PL"/>
        </w:rPr>
        <w:t xml:space="preserve">  — P02</w:t>
      </w:r>
    </w:p>
    <w:p w14:paraId="37C6F4B6" w14:textId="77B66B46" w:rsidR="002334FE" w:rsidRPr="000D08DE" w:rsidRDefault="00440E91" w:rsidP="003D2994">
      <w:pPr>
        <w:pStyle w:val="Nagwek2"/>
        <w:numPr>
          <w:ilvl w:val="1"/>
          <w:numId w:val="10"/>
        </w:numPr>
        <w:rPr>
          <w:rFonts w:ascii="Times New Roman" w:hAnsi="Times New Roman" w:cs="Times New Roman"/>
          <w:lang w:val="pl-PL"/>
        </w:rPr>
      </w:pPr>
      <w:r w:rsidRPr="000D08DE">
        <w:rPr>
          <w:rFonts w:ascii="Times New Roman" w:hAnsi="Times New Roman" w:cs="Times New Roman"/>
          <w:lang w:val="pl-PL"/>
        </w:rPr>
        <w:t>Kontrolowana widzialność kobiet</w:t>
      </w:r>
    </w:p>
    <w:p w14:paraId="66A6C142" w14:textId="77777777" w:rsidR="002334FE" w:rsidRPr="000D08DE" w:rsidRDefault="00440E91" w:rsidP="00716A79">
      <w:pPr>
        <w:jc w:val="both"/>
        <w:rPr>
          <w:rFonts w:ascii="Times New Roman" w:hAnsi="Times New Roman" w:cs="Times New Roman"/>
          <w:lang w:val="pl-PL"/>
        </w:rPr>
      </w:pPr>
      <w:r w:rsidRPr="000D08DE">
        <w:rPr>
          <w:rFonts w:ascii="Times New Roman" w:hAnsi="Times New Roman" w:cs="Times New Roman"/>
          <w:lang w:val="pl-PL"/>
        </w:rPr>
        <w:t>Najbardziej stabilny wzór nie polega na pełnej nieobecności, lecz na obecności o niższym statusie dydaktycznym. Kobiety są wymieniane, lecz często nie otrzymują osobnego segmentu wykładu, slajdu, tekstu źródłowego ani miejsca w wymaganiach egzaminacyjnych. W materiale można wyróżnić cztery dominujące tryby widzialności:</w:t>
      </w:r>
    </w:p>
    <w:p w14:paraId="2650E455" w14:textId="77777777" w:rsidR="002334FE" w:rsidRPr="000D08DE" w:rsidRDefault="00440E91" w:rsidP="00716A79">
      <w:pPr>
        <w:pStyle w:val="Listapunktowana"/>
        <w:jc w:val="both"/>
        <w:rPr>
          <w:rFonts w:ascii="Times New Roman" w:hAnsi="Times New Roman" w:cs="Times New Roman"/>
          <w:lang w:val="pl-PL"/>
        </w:rPr>
      </w:pPr>
      <w:r w:rsidRPr="000D08DE">
        <w:rPr>
          <w:rFonts w:ascii="Times New Roman" w:hAnsi="Times New Roman" w:cs="Times New Roman"/>
          <w:lang w:val="pl-PL"/>
        </w:rPr>
        <w:t>wyjątek biograficzny lub ciekawostka o epoce;</w:t>
      </w:r>
    </w:p>
    <w:p w14:paraId="0854652D" w14:textId="77777777" w:rsidR="002334FE" w:rsidRPr="000D08DE" w:rsidRDefault="00440E91" w:rsidP="00716A79">
      <w:pPr>
        <w:pStyle w:val="Listapunktowana"/>
        <w:jc w:val="both"/>
        <w:rPr>
          <w:rFonts w:ascii="Times New Roman" w:hAnsi="Times New Roman" w:cs="Times New Roman"/>
          <w:lang w:val="pl-PL"/>
        </w:rPr>
      </w:pPr>
      <w:r w:rsidRPr="000D08DE">
        <w:rPr>
          <w:rFonts w:ascii="Times New Roman" w:hAnsi="Times New Roman" w:cs="Times New Roman"/>
          <w:lang w:val="pl-PL"/>
        </w:rPr>
        <w:t>postać relacyjna — żona, partnerka, matka lub współpracowniczka kanonicznego mężczyzny;</w:t>
      </w:r>
    </w:p>
    <w:p w14:paraId="28BA3016" w14:textId="77777777" w:rsidR="002334FE" w:rsidRPr="000D08DE" w:rsidRDefault="00440E91" w:rsidP="00716A79">
      <w:pPr>
        <w:pStyle w:val="Listapunktowana"/>
        <w:jc w:val="both"/>
        <w:rPr>
          <w:rFonts w:ascii="Times New Roman" w:hAnsi="Times New Roman" w:cs="Times New Roman"/>
          <w:lang w:val="pl-PL"/>
        </w:rPr>
      </w:pPr>
      <w:r w:rsidRPr="000D08DE">
        <w:rPr>
          <w:rFonts w:ascii="Times New Roman" w:hAnsi="Times New Roman" w:cs="Times New Roman"/>
          <w:lang w:val="pl-PL"/>
        </w:rPr>
        <w:t>autorka omawiana w wydzielonym bloku feminizmu;</w:t>
      </w:r>
    </w:p>
    <w:p w14:paraId="09D39370" w14:textId="7C6977D2" w:rsidR="002334FE" w:rsidRPr="000D08DE" w:rsidRDefault="00440E91" w:rsidP="00716A79">
      <w:pPr>
        <w:pStyle w:val="Listapunktowana"/>
        <w:jc w:val="both"/>
        <w:rPr>
          <w:rFonts w:ascii="Times New Roman" w:hAnsi="Times New Roman" w:cs="Times New Roman"/>
          <w:lang w:val="pl-PL"/>
        </w:rPr>
      </w:pPr>
      <w:r w:rsidRPr="000D08DE">
        <w:rPr>
          <w:rFonts w:ascii="Times New Roman" w:hAnsi="Times New Roman" w:cs="Times New Roman"/>
          <w:lang w:val="pl-PL"/>
        </w:rPr>
        <w:t xml:space="preserve">samodzielna twórczyni idei włączona do szerszego nurtu — tryb rzadszy, lecz obecny m.in. przy Mary </w:t>
      </w:r>
      <w:proofErr w:type="spellStart"/>
      <w:r w:rsidRPr="000D08DE">
        <w:rPr>
          <w:rFonts w:ascii="Times New Roman" w:hAnsi="Times New Roman" w:cs="Times New Roman"/>
          <w:lang w:val="pl-PL"/>
        </w:rPr>
        <w:t>Wollstonecraft</w:t>
      </w:r>
      <w:proofErr w:type="spellEnd"/>
      <w:r w:rsidRPr="000D08DE">
        <w:rPr>
          <w:rFonts w:ascii="Times New Roman" w:hAnsi="Times New Roman" w:cs="Times New Roman"/>
          <w:lang w:val="pl-PL"/>
        </w:rPr>
        <w:t xml:space="preserve">, Róży Luksemburg, Hannie Arendt, </w:t>
      </w:r>
      <w:proofErr w:type="spellStart"/>
      <w:r w:rsidRPr="000D08DE">
        <w:rPr>
          <w:rFonts w:ascii="Times New Roman" w:hAnsi="Times New Roman" w:cs="Times New Roman"/>
          <w:lang w:val="pl-PL"/>
        </w:rPr>
        <w:t>Ayn</w:t>
      </w:r>
      <w:proofErr w:type="spellEnd"/>
      <w:r w:rsidRPr="000D08DE">
        <w:rPr>
          <w:rFonts w:ascii="Times New Roman" w:hAnsi="Times New Roman" w:cs="Times New Roman"/>
          <w:lang w:val="pl-PL"/>
        </w:rPr>
        <w:t xml:space="preserve"> </w:t>
      </w:r>
      <w:proofErr w:type="spellStart"/>
      <w:r w:rsidRPr="000D08DE">
        <w:rPr>
          <w:rFonts w:ascii="Times New Roman" w:hAnsi="Times New Roman" w:cs="Times New Roman"/>
          <w:lang w:val="pl-PL"/>
        </w:rPr>
        <w:t>Rand</w:t>
      </w:r>
      <w:proofErr w:type="spellEnd"/>
      <w:r w:rsidRPr="000D08DE">
        <w:rPr>
          <w:rFonts w:ascii="Times New Roman" w:hAnsi="Times New Roman" w:cs="Times New Roman"/>
          <w:lang w:val="pl-PL"/>
        </w:rPr>
        <w:t xml:space="preserve"> czy </w:t>
      </w:r>
      <w:proofErr w:type="spellStart"/>
      <w:r w:rsidRPr="000D08DE">
        <w:rPr>
          <w:rFonts w:ascii="Times New Roman" w:hAnsi="Times New Roman" w:cs="Times New Roman"/>
          <w:lang w:val="pl-PL"/>
        </w:rPr>
        <w:t>Mercy</w:t>
      </w:r>
      <w:proofErr w:type="spellEnd"/>
      <w:r w:rsidRPr="000D08DE">
        <w:rPr>
          <w:rFonts w:ascii="Times New Roman" w:hAnsi="Times New Roman" w:cs="Times New Roman"/>
          <w:lang w:val="pl-PL"/>
        </w:rPr>
        <w:t xml:space="preserve"> </w:t>
      </w:r>
      <w:proofErr w:type="spellStart"/>
      <w:r w:rsidRPr="000D08DE">
        <w:rPr>
          <w:rFonts w:ascii="Times New Roman" w:hAnsi="Times New Roman" w:cs="Times New Roman"/>
          <w:lang w:val="pl-PL"/>
        </w:rPr>
        <w:t>Otis</w:t>
      </w:r>
      <w:proofErr w:type="spellEnd"/>
      <w:r w:rsidRPr="000D08DE">
        <w:rPr>
          <w:rFonts w:ascii="Times New Roman" w:hAnsi="Times New Roman" w:cs="Times New Roman"/>
          <w:lang w:val="pl-PL"/>
        </w:rPr>
        <w:t xml:space="preserve"> Warren.</w:t>
      </w:r>
    </w:p>
    <w:p w14:paraId="14CBE231" w14:textId="77777777" w:rsidR="002334FE" w:rsidRPr="000D08DE" w:rsidRDefault="00440E91" w:rsidP="00716A79">
      <w:pPr>
        <w:jc w:val="both"/>
        <w:rPr>
          <w:rFonts w:ascii="Times New Roman" w:hAnsi="Times New Roman" w:cs="Times New Roman"/>
          <w:lang w:val="pl-PL"/>
        </w:rPr>
      </w:pPr>
      <w:r w:rsidRPr="000D08DE">
        <w:rPr>
          <w:rFonts w:ascii="Times New Roman" w:hAnsi="Times New Roman" w:cs="Times New Roman"/>
          <w:lang w:val="pl-PL"/>
        </w:rPr>
        <w:t>Szczególnie znaczące jest rozróżnienie między „mówieniem o kobietach” a „nauczaniem myśli kobiet”. W wielu programach obecne są poglądy Platona, Rousseau, Milla czy innych autorów na status kobiet, podczas gdy własne teksty autorek pozostają poza kanonem albo pojawiają się jedynie jako uzupełnienie.</w:t>
      </w:r>
    </w:p>
    <w:p w14:paraId="6CB1359C" w14:textId="77777777" w:rsidR="002334FE" w:rsidRPr="000D08DE" w:rsidRDefault="00440E91" w:rsidP="00716A79">
      <w:pPr>
        <w:pStyle w:val="Cytat"/>
        <w:jc w:val="both"/>
        <w:rPr>
          <w:rFonts w:ascii="Times New Roman" w:hAnsi="Times New Roman" w:cs="Times New Roman"/>
          <w:lang w:val="pl-PL"/>
        </w:rPr>
      </w:pPr>
      <w:r w:rsidRPr="000D08DE">
        <w:rPr>
          <w:rFonts w:ascii="Times New Roman" w:hAnsi="Times New Roman" w:cs="Times New Roman"/>
          <w:lang w:val="pl-PL"/>
        </w:rPr>
        <w:t xml:space="preserve">„Nie, [...] tylko wspominamy o tej </w:t>
      </w:r>
      <w:proofErr w:type="spellStart"/>
      <w:r w:rsidRPr="000D08DE">
        <w:rPr>
          <w:rFonts w:ascii="Times New Roman" w:hAnsi="Times New Roman" w:cs="Times New Roman"/>
          <w:lang w:val="pl-PL"/>
        </w:rPr>
        <w:t>Hipparchii</w:t>
      </w:r>
      <w:proofErr w:type="spellEnd"/>
      <w:r w:rsidRPr="000D08DE">
        <w:rPr>
          <w:rFonts w:ascii="Times New Roman" w:hAnsi="Times New Roman" w:cs="Times New Roman"/>
          <w:lang w:val="pl-PL"/>
        </w:rPr>
        <w:t xml:space="preserve"> [...], albo to jest na zasadzie: przy Millu miał żonę [...] i tyle.”</w:t>
      </w:r>
      <w:r w:rsidRPr="000D08DE">
        <w:rPr>
          <w:rFonts w:ascii="Times New Roman" w:hAnsi="Times New Roman" w:cs="Times New Roman"/>
          <w:b/>
          <w:lang w:val="pl-PL"/>
        </w:rPr>
        <w:t xml:space="preserve">  — P14</w:t>
      </w:r>
    </w:p>
    <w:p w14:paraId="65628A45" w14:textId="43ACD24E" w:rsidR="002334FE" w:rsidRPr="000D08DE" w:rsidRDefault="00440E91" w:rsidP="003D2994">
      <w:pPr>
        <w:pStyle w:val="Nagwek2"/>
        <w:numPr>
          <w:ilvl w:val="1"/>
          <w:numId w:val="10"/>
        </w:numPr>
        <w:rPr>
          <w:rFonts w:ascii="Times New Roman" w:hAnsi="Times New Roman" w:cs="Times New Roman"/>
          <w:lang w:val="pl-PL"/>
        </w:rPr>
      </w:pPr>
      <w:r w:rsidRPr="000D08DE">
        <w:rPr>
          <w:rFonts w:ascii="Times New Roman" w:hAnsi="Times New Roman" w:cs="Times New Roman"/>
          <w:lang w:val="pl-PL"/>
        </w:rPr>
        <w:t>Czas jako realne ograniczenie i argument selekcyjny</w:t>
      </w:r>
    </w:p>
    <w:p w14:paraId="105F68CA" w14:textId="524F2DD5" w:rsidR="002334FE" w:rsidRPr="000D08DE" w:rsidRDefault="00440E91" w:rsidP="00A863D2">
      <w:pPr>
        <w:jc w:val="both"/>
        <w:rPr>
          <w:rFonts w:ascii="Times New Roman" w:hAnsi="Times New Roman" w:cs="Times New Roman"/>
          <w:lang w:val="pl-PL"/>
        </w:rPr>
      </w:pPr>
      <w:r w:rsidRPr="000D08DE">
        <w:rPr>
          <w:rFonts w:ascii="Times New Roman" w:hAnsi="Times New Roman" w:cs="Times New Roman"/>
          <w:lang w:val="pl-PL"/>
        </w:rPr>
        <w:t xml:space="preserve">Redukcja godzin jest najczęściej powtarzaną barierą. Ograniczenie to jest realne: rozmówcy opisują kilkunasto- lub trzydziestogodzinne kursy, fakultatywność, likwidację ćwiczeń i konieczność przygotowania do egzaminu. Chronologiczna organizacja dodatkowo działa przeciw późniejszym epokom, w których liczba rozpoznawalnych autorek rośnie. Jednocześnie „brak czasu” nie jest neutralny: wymaga decyzji, komu czas zostanie przyznany. </w:t>
      </w:r>
    </w:p>
    <w:p w14:paraId="3C4AB51B" w14:textId="26259A0F" w:rsidR="002334FE" w:rsidRPr="000D08DE" w:rsidRDefault="00440E91" w:rsidP="003D2994">
      <w:pPr>
        <w:pStyle w:val="Nagwek2"/>
        <w:numPr>
          <w:ilvl w:val="1"/>
          <w:numId w:val="10"/>
        </w:numPr>
        <w:rPr>
          <w:rFonts w:ascii="Times New Roman" w:hAnsi="Times New Roman" w:cs="Times New Roman"/>
          <w:lang w:val="pl-PL"/>
        </w:rPr>
      </w:pPr>
      <w:r w:rsidRPr="000D08DE">
        <w:rPr>
          <w:rFonts w:ascii="Times New Roman" w:hAnsi="Times New Roman" w:cs="Times New Roman"/>
          <w:lang w:val="pl-PL"/>
        </w:rPr>
        <w:t>Dwa rozumienia neutralności</w:t>
      </w:r>
    </w:p>
    <w:p w14:paraId="19129558" w14:textId="77777777" w:rsidR="002334FE" w:rsidRPr="000D08DE" w:rsidRDefault="00440E91" w:rsidP="004E4A04">
      <w:pPr>
        <w:jc w:val="both"/>
        <w:rPr>
          <w:rFonts w:ascii="Times New Roman" w:hAnsi="Times New Roman" w:cs="Times New Roman"/>
          <w:lang w:val="pl-PL"/>
        </w:rPr>
      </w:pPr>
      <w:r w:rsidRPr="000D08DE">
        <w:rPr>
          <w:rFonts w:ascii="Times New Roman" w:hAnsi="Times New Roman" w:cs="Times New Roman"/>
          <w:lang w:val="pl-PL"/>
        </w:rPr>
        <w:t>Wypowiedzi układają się wokół dwóch konkurencyjnych modeli neutralności. W modelu „</w:t>
      </w:r>
      <w:proofErr w:type="spellStart"/>
      <w:r w:rsidRPr="000D08DE">
        <w:rPr>
          <w:rFonts w:ascii="Times New Roman" w:hAnsi="Times New Roman" w:cs="Times New Roman"/>
          <w:lang w:val="pl-PL"/>
        </w:rPr>
        <w:t>gender</w:t>
      </w:r>
      <w:proofErr w:type="spellEnd"/>
      <w:r w:rsidRPr="000D08DE">
        <w:rPr>
          <w:rFonts w:ascii="Times New Roman" w:hAnsi="Times New Roman" w:cs="Times New Roman"/>
          <w:lang w:val="pl-PL"/>
        </w:rPr>
        <w:t xml:space="preserve"> blind” neutralność oznacza dobór według wpływu i jakości, bez uwzględniania płci. Pytanie o reprezentację może być wówczas odczytywane jako zapowiedź parytetu, ideologizacji albo prezentyzmu. W modelu kontekstowym neutralność wymaga ujawnienia historycznych warunków dostępu do edukacji, autorstwa i sfery publicznej oraz namysłu nad tym, kto i w jaki sposób został uznany za wpływowego. Między tymi biegunami znajduje się szeroka grupa stanowisk warunkowych: poparcie dla większej widzialności, ale bez m</w:t>
      </w:r>
      <w:r w:rsidRPr="000D08DE">
        <w:rPr>
          <w:rFonts w:ascii="Times New Roman" w:hAnsi="Times New Roman" w:cs="Times New Roman"/>
          <w:lang w:val="pl-PL"/>
        </w:rPr>
        <w:t>echanicznego dodawania nazwisk.</w:t>
      </w:r>
    </w:p>
    <w:p w14:paraId="78F7FDD9" w14:textId="77777777" w:rsidR="002334FE" w:rsidRPr="000D08DE" w:rsidRDefault="00440E91">
      <w:pPr>
        <w:pStyle w:val="Cytat"/>
        <w:rPr>
          <w:rFonts w:ascii="Times New Roman" w:hAnsi="Times New Roman" w:cs="Times New Roman"/>
          <w:lang w:val="pl-PL"/>
        </w:rPr>
      </w:pPr>
      <w:r w:rsidRPr="000D08DE">
        <w:rPr>
          <w:rFonts w:ascii="Times New Roman" w:hAnsi="Times New Roman" w:cs="Times New Roman"/>
          <w:lang w:val="pl-PL"/>
        </w:rPr>
        <w:t>„Dusza nie ma płci, myślenie też nie ma płci.”</w:t>
      </w:r>
      <w:r w:rsidRPr="000D08DE">
        <w:rPr>
          <w:rFonts w:ascii="Times New Roman" w:hAnsi="Times New Roman" w:cs="Times New Roman"/>
          <w:b/>
          <w:lang w:val="pl-PL"/>
        </w:rPr>
        <w:t xml:space="preserve">  — P12</w:t>
      </w:r>
    </w:p>
    <w:p w14:paraId="5CD26677" w14:textId="77777777" w:rsidR="002334FE" w:rsidRPr="000D08DE" w:rsidRDefault="00440E91">
      <w:pPr>
        <w:pStyle w:val="Cytat"/>
        <w:rPr>
          <w:rFonts w:ascii="Times New Roman" w:hAnsi="Times New Roman" w:cs="Times New Roman"/>
          <w:lang w:val="pl-PL"/>
        </w:rPr>
      </w:pPr>
      <w:r w:rsidRPr="000D08DE">
        <w:rPr>
          <w:rFonts w:ascii="Times New Roman" w:hAnsi="Times New Roman" w:cs="Times New Roman"/>
          <w:lang w:val="pl-PL"/>
        </w:rPr>
        <w:t xml:space="preserve">„Sam fakt nieobecności albo takiej [...] mizernie reprezentowanej obecności jest [...] znaczący, bo [powstaje] przekonanie, że cała filozofia należy </w:t>
      </w:r>
      <w:proofErr w:type="gramStart"/>
      <w:r w:rsidRPr="000D08DE">
        <w:rPr>
          <w:rFonts w:ascii="Times New Roman" w:hAnsi="Times New Roman" w:cs="Times New Roman"/>
          <w:lang w:val="pl-PL"/>
        </w:rPr>
        <w:t>tylko i wyłącznie</w:t>
      </w:r>
      <w:proofErr w:type="gramEnd"/>
      <w:r w:rsidRPr="000D08DE">
        <w:rPr>
          <w:rFonts w:ascii="Times New Roman" w:hAnsi="Times New Roman" w:cs="Times New Roman"/>
          <w:lang w:val="pl-PL"/>
        </w:rPr>
        <w:t xml:space="preserve"> do męskich umysłów.”</w:t>
      </w:r>
      <w:r w:rsidRPr="000D08DE">
        <w:rPr>
          <w:rFonts w:ascii="Times New Roman" w:hAnsi="Times New Roman" w:cs="Times New Roman"/>
          <w:b/>
          <w:lang w:val="pl-PL"/>
        </w:rPr>
        <w:t xml:space="preserve">  — P11</w:t>
      </w:r>
    </w:p>
    <w:p w14:paraId="0EB1CE02" w14:textId="07C1B926" w:rsidR="002334FE" w:rsidRPr="000D08DE" w:rsidRDefault="00440E91" w:rsidP="003D2994">
      <w:pPr>
        <w:pStyle w:val="Nagwek2"/>
        <w:numPr>
          <w:ilvl w:val="1"/>
          <w:numId w:val="10"/>
        </w:numPr>
        <w:rPr>
          <w:rFonts w:ascii="Times New Roman" w:hAnsi="Times New Roman" w:cs="Times New Roman"/>
          <w:lang w:val="pl-PL"/>
        </w:rPr>
      </w:pPr>
      <w:r w:rsidRPr="000D08DE">
        <w:rPr>
          <w:rFonts w:ascii="Times New Roman" w:hAnsi="Times New Roman" w:cs="Times New Roman"/>
          <w:lang w:val="pl-PL"/>
        </w:rPr>
        <w:lastRenderedPageBreak/>
        <w:t>Podręczniki tracą czytelników, ale nie tracą władzy</w:t>
      </w:r>
    </w:p>
    <w:p w14:paraId="5638CFFB" w14:textId="341DFAC0" w:rsidR="002334FE" w:rsidRPr="000D08DE" w:rsidRDefault="00440E91" w:rsidP="002559B3">
      <w:pPr>
        <w:jc w:val="both"/>
        <w:rPr>
          <w:rFonts w:ascii="Times New Roman" w:hAnsi="Times New Roman" w:cs="Times New Roman"/>
          <w:lang w:val="pl-PL"/>
        </w:rPr>
      </w:pPr>
      <w:r w:rsidRPr="000D08DE">
        <w:rPr>
          <w:rFonts w:ascii="Times New Roman" w:hAnsi="Times New Roman" w:cs="Times New Roman"/>
          <w:lang w:val="pl-PL"/>
        </w:rPr>
        <w:t xml:space="preserve">Rozmówcy często twierdzą, że studenci nie czytają podręczników, korzystają z krótszych materiałów, </w:t>
      </w:r>
      <w:proofErr w:type="spellStart"/>
      <w:r w:rsidRPr="000D08DE">
        <w:rPr>
          <w:rFonts w:ascii="Times New Roman" w:hAnsi="Times New Roman" w:cs="Times New Roman"/>
          <w:lang w:val="pl-PL"/>
        </w:rPr>
        <w:t>internetu</w:t>
      </w:r>
      <w:proofErr w:type="spellEnd"/>
      <w:r w:rsidRPr="000D08DE">
        <w:rPr>
          <w:rFonts w:ascii="Times New Roman" w:hAnsi="Times New Roman" w:cs="Times New Roman"/>
          <w:lang w:val="pl-PL"/>
        </w:rPr>
        <w:t xml:space="preserve"> i narzędzi AI. Nie oznacza to jednak, że podręcznik przestaje kształtować kanon. </w:t>
      </w:r>
      <w:r w:rsidR="00A3350C" w:rsidRPr="000D08DE">
        <w:rPr>
          <w:rFonts w:ascii="Times New Roman" w:hAnsi="Times New Roman" w:cs="Times New Roman"/>
          <w:lang w:val="pl-PL"/>
        </w:rPr>
        <w:t xml:space="preserve">Często nadal </w:t>
      </w:r>
      <w:r w:rsidRPr="000D08DE">
        <w:rPr>
          <w:rFonts w:ascii="Times New Roman" w:hAnsi="Times New Roman" w:cs="Times New Roman"/>
          <w:lang w:val="pl-PL"/>
        </w:rPr>
        <w:t>wyznacza zakres egzaminu, listę literatury podstawowej, strukturę sylabusa i repertuar nazwisk dostępnych dla prowadzących. Jego wpływ jest więc częściej pośredni i instytucjonalny niż bezpośredni. Autorskie prezentacje, skrypty i teksty źródłowe tworzą przestrzeń korekty, ale zarazem zwiększają różnice między ośrodkami i uzależniają treść od indywidualnej inicjatywy prowadzącego.</w:t>
      </w:r>
    </w:p>
    <w:p w14:paraId="5C8FC54C" w14:textId="77777777" w:rsidR="002334FE" w:rsidRPr="000D08DE" w:rsidRDefault="00440E91">
      <w:pPr>
        <w:pStyle w:val="Cytat"/>
        <w:rPr>
          <w:rFonts w:ascii="Times New Roman" w:hAnsi="Times New Roman" w:cs="Times New Roman"/>
          <w:lang w:val="pl-PL"/>
        </w:rPr>
      </w:pPr>
      <w:r w:rsidRPr="000D08DE">
        <w:rPr>
          <w:rFonts w:ascii="Times New Roman" w:hAnsi="Times New Roman" w:cs="Times New Roman"/>
          <w:lang w:val="pl-PL"/>
        </w:rPr>
        <w:t>„Każda książka kształtuje, każdy wybór kształtuje myślenie odbiorcy.”</w:t>
      </w:r>
      <w:r w:rsidRPr="000D08DE">
        <w:rPr>
          <w:rFonts w:ascii="Times New Roman" w:hAnsi="Times New Roman" w:cs="Times New Roman"/>
          <w:b/>
          <w:lang w:val="pl-PL"/>
        </w:rPr>
        <w:t xml:space="preserve">  — P13</w:t>
      </w:r>
    </w:p>
    <w:p w14:paraId="1290CAC8" w14:textId="3D25897B" w:rsidR="002334FE" w:rsidRPr="000D08DE" w:rsidRDefault="00440E91" w:rsidP="003D2994">
      <w:pPr>
        <w:pStyle w:val="Nagwek2"/>
        <w:numPr>
          <w:ilvl w:val="1"/>
          <w:numId w:val="10"/>
        </w:numPr>
        <w:rPr>
          <w:rFonts w:ascii="Times New Roman" w:hAnsi="Times New Roman" w:cs="Times New Roman"/>
          <w:lang w:val="pl-PL"/>
        </w:rPr>
      </w:pPr>
      <w:r w:rsidRPr="000D08DE">
        <w:rPr>
          <w:rFonts w:ascii="Times New Roman" w:hAnsi="Times New Roman" w:cs="Times New Roman"/>
          <w:lang w:val="pl-PL"/>
        </w:rPr>
        <w:t>Słabość dyscypliny przesuwa reprezentację na dalszy plan</w:t>
      </w:r>
    </w:p>
    <w:p w14:paraId="57C009C9" w14:textId="77777777" w:rsidR="002334FE" w:rsidRPr="000D08DE" w:rsidRDefault="00440E91" w:rsidP="003C7D38">
      <w:pPr>
        <w:jc w:val="both"/>
        <w:rPr>
          <w:rFonts w:ascii="Times New Roman" w:hAnsi="Times New Roman" w:cs="Times New Roman"/>
          <w:lang w:val="pl-PL"/>
        </w:rPr>
      </w:pPr>
      <w:r w:rsidRPr="000D08DE">
        <w:rPr>
          <w:rFonts w:ascii="Times New Roman" w:hAnsi="Times New Roman" w:cs="Times New Roman"/>
          <w:lang w:val="pl-PL"/>
        </w:rPr>
        <w:t>Kwestia obecności kobiet jest osadzona w szerszym kryzysie pozycji doktryn w kształceniu prawniczym. Rozmówcy mówią o zmniejszaniu liczby godzin, fakultatywności, marginalizacji przedmiotów niedogmatycznych i nacisku na przygotowanie zawodowe. W sytuacji walki o utrzymanie samego przedmiotu korekta kanonu bywa przedstawiana jako zadanie drugorzędne. To ważny temat wyłoniony z materiału, którego nie zawierał wprost kwestionariusz: reforma treści jest zależna od instytucjonalnego przetrwania dyscypliny.</w:t>
      </w:r>
    </w:p>
    <w:p w14:paraId="7D444785" w14:textId="23581B09" w:rsidR="002334FE" w:rsidRPr="000D08DE" w:rsidRDefault="00440E91" w:rsidP="003D2994">
      <w:pPr>
        <w:pStyle w:val="Nagwek2"/>
        <w:numPr>
          <w:ilvl w:val="1"/>
          <w:numId w:val="10"/>
        </w:numPr>
        <w:rPr>
          <w:rFonts w:ascii="Times New Roman" w:hAnsi="Times New Roman" w:cs="Times New Roman"/>
          <w:lang w:val="pl-PL"/>
        </w:rPr>
      </w:pPr>
      <w:r w:rsidRPr="000D08DE">
        <w:rPr>
          <w:rFonts w:ascii="Times New Roman" w:hAnsi="Times New Roman" w:cs="Times New Roman"/>
          <w:lang w:val="pl-PL"/>
        </w:rPr>
        <w:t>Zmiana najczęściej zaczyna się w mikroskali</w:t>
      </w:r>
    </w:p>
    <w:p w14:paraId="3F78C1E9" w14:textId="7FFB1D40" w:rsidR="002334FE" w:rsidRPr="000D08DE" w:rsidRDefault="00440E91" w:rsidP="0089333B">
      <w:pPr>
        <w:jc w:val="both"/>
        <w:rPr>
          <w:rFonts w:ascii="Times New Roman" w:hAnsi="Times New Roman" w:cs="Times New Roman"/>
          <w:lang w:val="pl-PL"/>
        </w:rPr>
      </w:pPr>
      <w:r w:rsidRPr="000D08DE">
        <w:rPr>
          <w:rFonts w:ascii="Times New Roman" w:hAnsi="Times New Roman" w:cs="Times New Roman"/>
          <w:lang w:val="pl-PL"/>
        </w:rPr>
        <w:t>Najbardziej realistyczne mechanizmy zmiany wskazywane przez rozmówców to: aktualizacja własnych prezentacji, wprowadzenie tekstów źródłowych, włączenie autorek do różnych nurtów zamiast wyłącznie do feminizmu, problemowa przebudowa kursu, nowe badania i krytyczne edycje źródeł oraz konferencje.</w:t>
      </w:r>
      <w:r w:rsidRPr="000D08DE">
        <w:rPr>
          <w:rFonts w:ascii="Times New Roman" w:hAnsi="Times New Roman" w:cs="Times New Roman"/>
          <w:lang w:val="pl-PL"/>
        </w:rPr>
        <w:t xml:space="preserve"> Co istotne, kilka wypowiedzi pokazuje </w:t>
      </w:r>
      <w:proofErr w:type="spellStart"/>
      <w:r w:rsidRPr="000D08DE">
        <w:rPr>
          <w:rFonts w:ascii="Times New Roman" w:hAnsi="Times New Roman" w:cs="Times New Roman"/>
          <w:lang w:val="pl-PL"/>
        </w:rPr>
        <w:t>performatywny</w:t>
      </w:r>
      <w:proofErr w:type="spellEnd"/>
      <w:r w:rsidRPr="000D08DE">
        <w:rPr>
          <w:rFonts w:ascii="Times New Roman" w:hAnsi="Times New Roman" w:cs="Times New Roman"/>
          <w:lang w:val="pl-PL"/>
        </w:rPr>
        <w:t xml:space="preserve"> efekt samego badania: rozmowa prowadzi do rozpoznania luki i </w:t>
      </w:r>
      <w:r w:rsidR="0096408D" w:rsidRPr="000D08DE">
        <w:rPr>
          <w:rFonts w:ascii="Times New Roman" w:hAnsi="Times New Roman" w:cs="Times New Roman"/>
          <w:lang w:val="pl-PL"/>
        </w:rPr>
        <w:t>refleksji nad możliwością wprowadzenia pewnych zmian</w:t>
      </w:r>
      <w:r w:rsidRPr="000D08DE">
        <w:rPr>
          <w:rFonts w:ascii="Times New Roman" w:hAnsi="Times New Roman" w:cs="Times New Roman"/>
          <w:lang w:val="pl-PL"/>
        </w:rPr>
        <w:t>.</w:t>
      </w:r>
    </w:p>
    <w:p w14:paraId="16B3E695" w14:textId="77777777" w:rsidR="002334FE" w:rsidRPr="000D08DE" w:rsidRDefault="00440E91">
      <w:pPr>
        <w:pStyle w:val="Cytat"/>
        <w:rPr>
          <w:rFonts w:ascii="Times New Roman" w:hAnsi="Times New Roman" w:cs="Times New Roman"/>
          <w:lang w:val="pl-PL"/>
        </w:rPr>
      </w:pPr>
      <w:r w:rsidRPr="000D08DE">
        <w:rPr>
          <w:rFonts w:ascii="Times New Roman" w:hAnsi="Times New Roman" w:cs="Times New Roman"/>
          <w:lang w:val="pl-PL"/>
        </w:rPr>
        <w:t>„Bije się w pierś, bo u mnie się nie pojawiają, ale faktycznie być może takie rozmowy otwierają oczy.”</w:t>
      </w:r>
      <w:r w:rsidRPr="000D08DE">
        <w:rPr>
          <w:rFonts w:ascii="Times New Roman" w:hAnsi="Times New Roman" w:cs="Times New Roman"/>
          <w:b/>
          <w:lang w:val="pl-PL"/>
        </w:rPr>
        <w:t xml:space="preserve">  — P05</w:t>
      </w:r>
    </w:p>
    <w:p w14:paraId="0EA19AEE" w14:textId="77777777" w:rsidR="002334FE" w:rsidRPr="000D08DE" w:rsidRDefault="00440E91">
      <w:pPr>
        <w:pStyle w:val="Cytat"/>
        <w:rPr>
          <w:rFonts w:ascii="Times New Roman" w:hAnsi="Times New Roman" w:cs="Times New Roman"/>
          <w:lang w:val="pl-PL"/>
        </w:rPr>
      </w:pPr>
      <w:r w:rsidRPr="000D08DE">
        <w:rPr>
          <w:rFonts w:ascii="Times New Roman" w:hAnsi="Times New Roman" w:cs="Times New Roman"/>
          <w:lang w:val="pl-PL"/>
        </w:rPr>
        <w:t xml:space="preserve">„Twój projekt może się do tego przyczynić, bo być może część z </w:t>
      </w:r>
      <w:proofErr w:type="gramStart"/>
      <w:r w:rsidRPr="000D08DE">
        <w:rPr>
          <w:rFonts w:ascii="Times New Roman" w:hAnsi="Times New Roman" w:cs="Times New Roman"/>
          <w:lang w:val="pl-PL"/>
        </w:rPr>
        <w:t>interlokutorów</w:t>
      </w:r>
      <w:proofErr w:type="gramEnd"/>
      <w:r w:rsidRPr="000D08DE">
        <w:rPr>
          <w:rFonts w:ascii="Times New Roman" w:hAnsi="Times New Roman" w:cs="Times New Roman"/>
          <w:lang w:val="pl-PL"/>
        </w:rPr>
        <w:t>, włączając w to mnie, właściwie o tym nawet nie myślała.”</w:t>
      </w:r>
      <w:r w:rsidRPr="000D08DE">
        <w:rPr>
          <w:rFonts w:ascii="Times New Roman" w:hAnsi="Times New Roman" w:cs="Times New Roman"/>
          <w:b/>
          <w:lang w:val="pl-PL"/>
        </w:rPr>
        <w:t xml:space="preserve">  — P10</w:t>
      </w:r>
    </w:p>
    <w:p w14:paraId="68C143CC" w14:textId="50545337" w:rsidR="002334FE" w:rsidRPr="000D08DE" w:rsidRDefault="00440E91" w:rsidP="003D2994">
      <w:pPr>
        <w:pStyle w:val="Nagwek2"/>
        <w:numPr>
          <w:ilvl w:val="1"/>
          <w:numId w:val="10"/>
        </w:numPr>
        <w:rPr>
          <w:rFonts w:ascii="Times New Roman" w:hAnsi="Times New Roman" w:cs="Times New Roman"/>
          <w:lang w:val="pl-PL"/>
        </w:rPr>
      </w:pPr>
      <w:r w:rsidRPr="000D08DE">
        <w:rPr>
          <w:rFonts w:ascii="Times New Roman" w:hAnsi="Times New Roman" w:cs="Times New Roman"/>
          <w:lang w:val="pl-PL"/>
        </w:rPr>
        <w:t>Nie ma prostego związku między deklaracją a praktyką</w:t>
      </w:r>
    </w:p>
    <w:p w14:paraId="5952D0CF" w14:textId="59E3A024" w:rsidR="002334FE" w:rsidRPr="000D08DE" w:rsidRDefault="00440E91" w:rsidP="006017AC">
      <w:pPr>
        <w:jc w:val="both"/>
        <w:rPr>
          <w:rFonts w:ascii="Times New Roman" w:hAnsi="Times New Roman" w:cs="Times New Roman"/>
          <w:lang w:val="pl-PL"/>
        </w:rPr>
      </w:pPr>
      <w:r w:rsidRPr="000D08DE">
        <w:rPr>
          <w:rFonts w:ascii="Times New Roman" w:hAnsi="Times New Roman" w:cs="Times New Roman"/>
          <w:lang w:val="pl-PL"/>
        </w:rPr>
        <w:t>Materiał zawiera istotne przypadki przeczące prostemu podziałowi na zwolenników i przeciwników poszerzania kanonu. Niektórzy rozmówcy deklarują neutralność płciową lub krytykują samą kategorię reprezentacji, a zarazem omawiają konkretne autorki w sposób merytoryczny. Inni zdecydowanie popierają zmianę, choć obecnie niemal nie wprowadzają kobiet do zajęć. Analiza nie powinna więc sprowadzać stanowisk do skali „za–przeciw”. Należy osobno kodować praktykę dydaktyczną, wyjaśnienie nieobecności</w:t>
      </w:r>
      <w:r w:rsidR="003E72AC" w:rsidRPr="000D08DE">
        <w:rPr>
          <w:rFonts w:ascii="Times New Roman" w:hAnsi="Times New Roman" w:cs="Times New Roman"/>
          <w:lang w:val="pl-PL"/>
        </w:rPr>
        <w:t>.</w:t>
      </w:r>
    </w:p>
    <w:p w14:paraId="59217E06" w14:textId="65E80AA8" w:rsidR="002334FE" w:rsidRPr="000D08DE" w:rsidRDefault="00440E91" w:rsidP="003D2994">
      <w:pPr>
        <w:pStyle w:val="Nagwek1"/>
        <w:numPr>
          <w:ilvl w:val="0"/>
          <w:numId w:val="10"/>
        </w:numPr>
        <w:rPr>
          <w:rFonts w:ascii="Times New Roman" w:hAnsi="Times New Roman" w:cs="Times New Roman"/>
          <w:lang w:val="pl-PL"/>
        </w:rPr>
      </w:pPr>
      <w:r w:rsidRPr="000D08DE">
        <w:rPr>
          <w:rFonts w:ascii="Times New Roman" w:hAnsi="Times New Roman" w:cs="Times New Roman"/>
          <w:lang w:val="pl-PL"/>
        </w:rPr>
        <w:t>Matryca rozmówców</w:t>
      </w:r>
    </w:p>
    <w:p w14:paraId="74EC8A70" w14:textId="4C80F989" w:rsidR="002334FE" w:rsidRPr="000D08DE" w:rsidRDefault="00440E91">
      <w:pPr>
        <w:rPr>
          <w:rFonts w:ascii="Times New Roman" w:hAnsi="Times New Roman" w:cs="Times New Roman"/>
          <w:lang w:val="pl-PL"/>
        </w:rPr>
      </w:pPr>
      <w:r w:rsidRPr="000D08DE">
        <w:rPr>
          <w:rFonts w:ascii="Times New Roman" w:hAnsi="Times New Roman" w:cs="Times New Roman"/>
          <w:lang w:val="pl-PL"/>
        </w:rPr>
        <w:t xml:space="preserve">Kody P01–P15 służą do pracy analitycznej. Matryca syntetyzuje dominujący sposób wypowiedzi, nie klasyfikuje osób w sposób trwały. „Zakres obecności” oznacza status deklarowany w wywiadzie, a nie wynik obserwacji zajęć. P15 oparto na notatce, dlatego zapis tego przypadku jest </w:t>
      </w:r>
      <w:r w:rsidR="00A6683E" w:rsidRPr="000D08DE">
        <w:rPr>
          <w:rFonts w:ascii="Times New Roman" w:hAnsi="Times New Roman" w:cs="Times New Roman"/>
          <w:lang w:val="pl-PL"/>
        </w:rPr>
        <w:t>niepełny.</w:t>
      </w:r>
    </w:p>
    <w:p w14:paraId="351E67E0" w14:textId="77777777" w:rsidR="00333E2F" w:rsidRPr="000D08DE" w:rsidRDefault="00333E2F">
      <w:pPr>
        <w:rPr>
          <w:rFonts w:ascii="Times New Roman" w:hAnsi="Times New Roman" w:cs="Times New Roman"/>
          <w:lang w:val="pl-PL"/>
        </w:rPr>
      </w:pPr>
    </w:p>
    <w:tbl>
      <w:tblPr>
        <w:tblW w:w="0" w:type="auto"/>
        <w:jc w:val="center"/>
        <w:tblLayout w:type="fixed"/>
        <w:tblLook w:val="04A0" w:firstRow="1" w:lastRow="0" w:firstColumn="1" w:lastColumn="0" w:noHBand="0" w:noVBand="1"/>
      </w:tblPr>
      <w:tblGrid>
        <w:gridCol w:w="1944"/>
        <w:gridCol w:w="2880"/>
        <w:gridCol w:w="2952"/>
        <w:gridCol w:w="2765"/>
      </w:tblGrid>
      <w:tr w:rsidR="002334FE" w:rsidRPr="000D08DE" w14:paraId="5E036F51" w14:textId="77777777">
        <w:trPr>
          <w:cantSplit/>
          <w:tblHeader/>
          <w:jc w:val="center"/>
        </w:trPr>
        <w:tc>
          <w:tcPr>
            <w:tcW w:w="1944" w:type="dxa"/>
            <w:shd w:val="clear" w:color="auto" w:fill="374151"/>
            <w:tcMar>
              <w:top w:w="100" w:type="dxa"/>
              <w:left w:w="110" w:type="dxa"/>
              <w:bottom w:w="100" w:type="dxa"/>
              <w:right w:w="110" w:type="dxa"/>
            </w:tcMar>
            <w:vAlign w:val="center"/>
          </w:tcPr>
          <w:p w14:paraId="3187D7DC"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b/>
                <w:color w:val="FFFFFF"/>
                <w:sz w:val="16"/>
                <w:lang w:val="pl-PL"/>
              </w:rPr>
              <w:t>Kod i osoba</w:t>
            </w:r>
          </w:p>
        </w:tc>
        <w:tc>
          <w:tcPr>
            <w:tcW w:w="2880" w:type="dxa"/>
            <w:shd w:val="clear" w:color="auto" w:fill="374151"/>
            <w:tcMar>
              <w:top w:w="100" w:type="dxa"/>
              <w:left w:w="110" w:type="dxa"/>
              <w:bottom w:w="100" w:type="dxa"/>
              <w:right w:w="110" w:type="dxa"/>
            </w:tcMar>
            <w:vAlign w:val="center"/>
          </w:tcPr>
          <w:p w14:paraId="4370DF6C"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b/>
                <w:color w:val="FFFFFF"/>
                <w:sz w:val="16"/>
                <w:lang w:val="pl-PL"/>
              </w:rPr>
              <w:t>Zakres obecności</w:t>
            </w:r>
          </w:p>
        </w:tc>
        <w:tc>
          <w:tcPr>
            <w:tcW w:w="2952" w:type="dxa"/>
            <w:shd w:val="clear" w:color="auto" w:fill="374151"/>
            <w:tcMar>
              <w:top w:w="100" w:type="dxa"/>
              <w:left w:w="110" w:type="dxa"/>
              <w:bottom w:w="100" w:type="dxa"/>
              <w:right w:w="110" w:type="dxa"/>
            </w:tcMar>
            <w:vAlign w:val="center"/>
          </w:tcPr>
          <w:p w14:paraId="5C381D88"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b/>
                <w:color w:val="FFFFFF"/>
                <w:sz w:val="16"/>
                <w:lang w:val="pl-PL"/>
              </w:rPr>
              <w:t>Orientacja wobec zmiany</w:t>
            </w:r>
          </w:p>
        </w:tc>
        <w:tc>
          <w:tcPr>
            <w:tcW w:w="2765" w:type="dxa"/>
            <w:shd w:val="clear" w:color="auto" w:fill="374151"/>
            <w:tcMar>
              <w:top w:w="100" w:type="dxa"/>
              <w:left w:w="110" w:type="dxa"/>
              <w:bottom w:w="100" w:type="dxa"/>
              <w:right w:w="110" w:type="dxa"/>
            </w:tcMar>
            <w:vAlign w:val="center"/>
          </w:tcPr>
          <w:p w14:paraId="6FD1C870"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b/>
                <w:color w:val="FFFFFF"/>
                <w:sz w:val="16"/>
                <w:lang w:val="pl-PL"/>
              </w:rPr>
              <w:t>Najważniejsze bariery</w:t>
            </w:r>
          </w:p>
        </w:tc>
      </w:tr>
      <w:tr w:rsidR="002334FE" w:rsidRPr="000D08DE" w14:paraId="1C076B0D" w14:textId="77777777">
        <w:trPr>
          <w:cantSplit/>
          <w:jc w:val="center"/>
        </w:trPr>
        <w:tc>
          <w:tcPr>
            <w:tcW w:w="1944" w:type="dxa"/>
            <w:tcMar>
              <w:top w:w="100" w:type="dxa"/>
              <w:left w:w="110" w:type="dxa"/>
              <w:bottom w:w="100" w:type="dxa"/>
              <w:right w:w="110" w:type="dxa"/>
            </w:tcMar>
            <w:vAlign w:val="center"/>
          </w:tcPr>
          <w:p w14:paraId="44D24F37"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P01</w:t>
            </w:r>
            <w:r w:rsidRPr="000D08DE">
              <w:rPr>
                <w:rFonts w:ascii="Times New Roman" w:hAnsi="Times New Roman" w:cs="Times New Roman"/>
                <w:color w:val="000000"/>
                <w:sz w:val="16"/>
                <w:lang w:val="pl-PL"/>
              </w:rPr>
              <w:br/>
              <w:t>Anna Ceglarska</w:t>
            </w:r>
          </w:p>
        </w:tc>
        <w:tc>
          <w:tcPr>
            <w:tcW w:w="2880" w:type="dxa"/>
            <w:tcMar>
              <w:top w:w="100" w:type="dxa"/>
              <w:left w:w="110" w:type="dxa"/>
              <w:bottom w:w="100" w:type="dxa"/>
              <w:right w:w="110" w:type="dxa"/>
            </w:tcMar>
            <w:vAlign w:val="center"/>
          </w:tcPr>
          <w:p w14:paraId="5335D42F"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 xml:space="preserve">Głównie dygresyjna i relacyjna; Aspazja, </w:t>
            </w:r>
            <w:proofErr w:type="spellStart"/>
            <w:r w:rsidRPr="000D08DE">
              <w:rPr>
                <w:rFonts w:ascii="Times New Roman" w:hAnsi="Times New Roman" w:cs="Times New Roman"/>
                <w:color w:val="000000"/>
                <w:sz w:val="16"/>
                <w:lang w:val="pl-PL"/>
              </w:rPr>
              <w:t>Artemizja</w:t>
            </w:r>
            <w:proofErr w:type="spellEnd"/>
            <w:r w:rsidRPr="000D08DE">
              <w:rPr>
                <w:rFonts w:ascii="Times New Roman" w:hAnsi="Times New Roman" w:cs="Times New Roman"/>
                <w:color w:val="000000"/>
                <w:sz w:val="16"/>
                <w:lang w:val="pl-PL"/>
              </w:rPr>
              <w:t>, św. Monika.</w:t>
            </w:r>
          </w:p>
        </w:tc>
        <w:tc>
          <w:tcPr>
            <w:tcW w:w="2952" w:type="dxa"/>
            <w:tcMar>
              <w:top w:w="100" w:type="dxa"/>
              <w:left w:w="110" w:type="dxa"/>
              <w:bottom w:w="100" w:type="dxa"/>
              <w:right w:w="110" w:type="dxa"/>
            </w:tcMar>
            <w:vAlign w:val="center"/>
          </w:tcPr>
          <w:p w14:paraId="5319FBCB"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Kanon niezróżnicowany; potrzebne impulsy, lecz bez narzuconej reformy.</w:t>
            </w:r>
          </w:p>
        </w:tc>
        <w:tc>
          <w:tcPr>
            <w:tcW w:w="2765" w:type="dxa"/>
            <w:tcMar>
              <w:top w:w="100" w:type="dxa"/>
              <w:left w:w="110" w:type="dxa"/>
              <w:bottom w:w="100" w:type="dxa"/>
              <w:right w:w="110" w:type="dxa"/>
            </w:tcMar>
            <w:vAlign w:val="center"/>
          </w:tcPr>
          <w:p w14:paraId="26DD8A17"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Brak rozpoznanego dorobku, czas, zależność ćwiczeń od wykładu.</w:t>
            </w:r>
          </w:p>
        </w:tc>
      </w:tr>
      <w:tr w:rsidR="002334FE" w:rsidRPr="000D08DE" w14:paraId="7C5EB738" w14:textId="77777777">
        <w:trPr>
          <w:cantSplit/>
          <w:jc w:val="center"/>
        </w:trPr>
        <w:tc>
          <w:tcPr>
            <w:tcW w:w="1944" w:type="dxa"/>
            <w:shd w:val="clear" w:color="auto" w:fill="F3F4F6"/>
            <w:tcMar>
              <w:top w:w="100" w:type="dxa"/>
              <w:left w:w="110" w:type="dxa"/>
              <w:bottom w:w="100" w:type="dxa"/>
              <w:right w:w="110" w:type="dxa"/>
            </w:tcMar>
            <w:vAlign w:val="center"/>
          </w:tcPr>
          <w:p w14:paraId="63A28B44"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P02</w:t>
            </w:r>
            <w:r w:rsidRPr="000D08DE">
              <w:rPr>
                <w:rFonts w:ascii="Times New Roman" w:hAnsi="Times New Roman" w:cs="Times New Roman"/>
                <w:color w:val="000000"/>
                <w:sz w:val="16"/>
                <w:lang w:val="pl-PL"/>
              </w:rPr>
              <w:br/>
              <w:t>Jacek Malczewski</w:t>
            </w:r>
          </w:p>
        </w:tc>
        <w:tc>
          <w:tcPr>
            <w:tcW w:w="2880" w:type="dxa"/>
            <w:shd w:val="clear" w:color="auto" w:fill="F3F4F6"/>
            <w:tcMar>
              <w:top w:w="100" w:type="dxa"/>
              <w:left w:w="110" w:type="dxa"/>
              <w:bottom w:w="100" w:type="dxa"/>
              <w:right w:w="110" w:type="dxa"/>
            </w:tcMar>
            <w:vAlign w:val="center"/>
          </w:tcPr>
          <w:p w14:paraId="6DC59CB9"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 xml:space="preserve">Marginalna; </w:t>
            </w:r>
            <w:proofErr w:type="spellStart"/>
            <w:r w:rsidRPr="000D08DE">
              <w:rPr>
                <w:rFonts w:ascii="Times New Roman" w:hAnsi="Times New Roman" w:cs="Times New Roman"/>
                <w:color w:val="000000"/>
                <w:sz w:val="16"/>
                <w:lang w:val="pl-PL"/>
              </w:rPr>
              <w:t>Wollstonecraft</w:t>
            </w:r>
            <w:proofErr w:type="spellEnd"/>
            <w:r w:rsidRPr="000D08DE">
              <w:rPr>
                <w:rFonts w:ascii="Times New Roman" w:hAnsi="Times New Roman" w:cs="Times New Roman"/>
                <w:color w:val="000000"/>
                <w:sz w:val="16"/>
                <w:lang w:val="pl-PL"/>
              </w:rPr>
              <w:t xml:space="preserve"> i </w:t>
            </w:r>
            <w:proofErr w:type="spellStart"/>
            <w:r w:rsidRPr="000D08DE">
              <w:rPr>
                <w:rFonts w:ascii="Times New Roman" w:hAnsi="Times New Roman" w:cs="Times New Roman"/>
                <w:color w:val="000000"/>
                <w:sz w:val="16"/>
                <w:lang w:val="pl-PL"/>
              </w:rPr>
              <w:t>Harriet</w:t>
            </w:r>
            <w:proofErr w:type="spellEnd"/>
            <w:r w:rsidRPr="000D08DE">
              <w:rPr>
                <w:rFonts w:ascii="Times New Roman" w:hAnsi="Times New Roman" w:cs="Times New Roman"/>
                <w:color w:val="000000"/>
                <w:sz w:val="16"/>
                <w:lang w:val="pl-PL"/>
              </w:rPr>
              <w:t xml:space="preserve"> Taylor Mill sygnalizowane.</w:t>
            </w:r>
          </w:p>
        </w:tc>
        <w:tc>
          <w:tcPr>
            <w:tcW w:w="2952" w:type="dxa"/>
            <w:shd w:val="clear" w:color="auto" w:fill="F3F4F6"/>
            <w:tcMar>
              <w:top w:w="100" w:type="dxa"/>
              <w:left w:w="110" w:type="dxa"/>
              <w:bottom w:w="100" w:type="dxa"/>
              <w:right w:w="110" w:type="dxa"/>
            </w:tcMar>
            <w:vAlign w:val="center"/>
          </w:tcPr>
          <w:p w14:paraId="511A4A0F"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Silna diagnoza inercji; poparcie dla stopniowej zmiany, sprzeciw wobec parytetu.</w:t>
            </w:r>
          </w:p>
        </w:tc>
        <w:tc>
          <w:tcPr>
            <w:tcW w:w="2765" w:type="dxa"/>
            <w:shd w:val="clear" w:color="auto" w:fill="F3F4F6"/>
            <w:tcMar>
              <w:top w:w="100" w:type="dxa"/>
              <w:left w:w="110" w:type="dxa"/>
              <w:bottom w:w="100" w:type="dxa"/>
              <w:right w:w="110" w:type="dxa"/>
            </w:tcMar>
            <w:vAlign w:val="center"/>
          </w:tcPr>
          <w:p w14:paraId="78980E04"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Kanon, nawyk, brak badań i edycji, ograniczony czas.</w:t>
            </w:r>
          </w:p>
        </w:tc>
      </w:tr>
      <w:tr w:rsidR="002334FE" w:rsidRPr="000D08DE" w14:paraId="29D8A94A" w14:textId="77777777">
        <w:trPr>
          <w:cantSplit/>
          <w:jc w:val="center"/>
        </w:trPr>
        <w:tc>
          <w:tcPr>
            <w:tcW w:w="1944" w:type="dxa"/>
            <w:tcMar>
              <w:top w:w="100" w:type="dxa"/>
              <w:left w:w="110" w:type="dxa"/>
              <w:bottom w:w="100" w:type="dxa"/>
              <w:right w:w="110" w:type="dxa"/>
            </w:tcMar>
            <w:vAlign w:val="center"/>
          </w:tcPr>
          <w:p w14:paraId="58A7E4A4"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lastRenderedPageBreak/>
              <w:t>P03</w:t>
            </w:r>
            <w:r w:rsidRPr="000D08DE">
              <w:rPr>
                <w:rFonts w:ascii="Times New Roman" w:hAnsi="Times New Roman" w:cs="Times New Roman"/>
                <w:color w:val="000000"/>
                <w:sz w:val="16"/>
                <w:lang w:val="pl-PL"/>
              </w:rPr>
              <w:br/>
              <w:t>Bartosz Chrząszcz</w:t>
            </w:r>
          </w:p>
        </w:tc>
        <w:tc>
          <w:tcPr>
            <w:tcW w:w="2880" w:type="dxa"/>
            <w:tcMar>
              <w:top w:w="100" w:type="dxa"/>
              <w:left w:w="110" w:type="dxa"/>
              <w:bottom w:w="100" w:type="dxa"/>
              <w:right w:w="110" w:type="dxa"/>
            </w:tcMar>
            <w:vAlign w:val="center"/>
          </w:tcPr>
          <w:p w14:paraId="3BFB46D0"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 xml:space="preserve">Róża Luksemburg; </w:t>
            </w:r>
            <w:proofErr w:type="spellStart"/>
            <w:r w:rsidRPr="000D08DE">
              <w:rPr>
                <w:rFonts w:ascii="Times New Roman" w:hAnsi="Times New Roman" w:cs="Times New Roman"/>
                <w:color w:val="000000"/>
                <w:sz w:val="16"/>
                <w:lang w:val="pl-PL"/>
              </w:rPr>
              <w:t>Wollstonecraft</w:t>
            </w:r>
            <w:proofErr w:type="spellEnd"/>
            <w:r w:rsidRPr="000D08DE">
              <w:rPr>
                <w:rFonts w:ascii="Times New Roman" w:hAnsi="Times New Roman" w:cs="Times New Roman"/>
                <w:color w:val="000000"/>
                <w:sz w:val="16"/>
                <w:lang w:val="pl-PL"/>
              </w:rPr>
              <w:t xml:space="preserve"> szerzej w kursie anglojęzycznym; Mill i prawa kobiet.</w:t>
            </w:r>
          </w:p>
        </w:tc>
        <w:tc>
          <w:tcPr>
            <w:tcW w:w="2952" w:type="dxa"/>
            <w:tcMar>
              <w:top w:w="100" w:type="dxa"/>
              <w:left w:w="110" w:type="dxa"/>
              <w:bottom w:w="100" w:type="dxa"/>
              <w:right w:w="110" w:type="dxa"/>
            </w:tcMar>
            <w:vAlign w:val="center"/>
          </w:tcPr>
          <w:p w14:paraId="31D86E3C" w14:textId="57AE372A"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Podejście mer</w:t>
            </w:r>
            <w:r w:rsidR="00A6683E" w:rsidRPr="000D08DE">
              <w:rPr>
                <w:rFonts w:ascii="Times New Roman" w:hAnsi="Times New Roman" w:cs="Times New Roman"/>
                <w:color w:val="000000"/>
                <w:sz w:val="16"/>
                <w:lang w:val="pl-PL"/>
              </w:rPr>
              <w:t>y</w:t>
            </w:r>
            <w:r w:rsidRPr="000D08DE">
              <w:rPr>
                <w:rFonts w:ascii="Times New Roman" w:hAnsi="Times New Roman" w:cs="Times New Roman"/>
                <w:color w:val="000000"/>
                <w:sz w:val="16"/>
                <w:lang w:val="pl-PL"/>
              </w:rPr>
              <w:t>to</w:t>
            </w:r>
            <w:r w:rsidR="00A6683E" w:rsidRPr="000D08DE">
              <w:rPr>
                <w:rFonts w:ascii="Times New Roman" w:hAnsi="Times New Roman" w:cs="Times New Roman"/>
                <w:color w:val="000000"/>
                <w:sz w:val="16"/>
                <w:lang w:val="pl-PL"/>
              </w:rPr>
              <w:t>ryczne</w:t>
            </w:r>
            <w:r w:rsidRPr="000D08DE">
              <w:rPr>
                <w:rFonts w:ascii="Times New Roman" w:hAnsi="Times New Roman" w:cs="Times New Roman"/>
                <w:color w:val="000000"/>
                <w:sz w:val="16"/>
                <w:lang w:val="pl-PL"/>
              </w:rPr>
              <w:t xml:space="preserve"> i ewolucyjne; wcześniej brak refleksji nad płcią.</w:t>
            </w:r>
          </w:p>
        </w:tc>
        <w:tc>
          <w:tcPr>
            <w:tcW w:w="2765" w:type="dxa"/>
            <w:tcMar>
              <w:top w:w="100" w:type="dxa"/>
              <w:left w:w="110" w:type="dxa"/>
              <w:bottom w:w="100" w:type="dxa"/>
              <w:right w:w="110" w:type="dxa"/>
            </w:tcMar>
            <w:vAlign w:val="center"/>
          </w:tcPr>
          <w:p w14:paraId="5709B103"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Czas, egzamin, przekonanie o historycznie mniejszej liczbie autorek.</w:t>
            </w:r>
          </w:p>
        </w:tc>
      </w:tr>
      <w:tr w:rsidR="002334FE" w:rsidRPr="000D08DE" w14:paraId="3394D229" w14:textId="77777777">
        <w:trPr>
          <w:cantSplit/>
          <w:jc w:val="center"/>
        </w:trPr>
        <w:tc>
          <w:tcPr>
            <w:tcW w:w="1944" w:type="dxa"/>
            <w:shd w:val="clear" w:color="auto" w:fill="F3F4F6"/>
            <w:tcMar>
              <w:top w:w="100" w:type="dxa"/>
              <w:left w:w="110" w:type="dxa"/>
              <w:bottom w:w="100" w:type="dxa"/>
              <w:right w:w="110" w:type="dxa"/>
            </w:tcMar>
            <w:vAlign w:val="center"/>
          </w:tcPr>
          <w:p w14:paraId="77E3569E"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P04</w:t>
            </w:r>
            <w:r w:rsidRPr="000D08DE">
              <w:rPr>
                <w:rFonts w:ascii="Times New Roman" w:hAnsi="Times New Roman" w:cs="Times New Roman"/>
                <w:color w:val="000000"/>
                <w:sz w:val="16"/>
                <w:lang w:val="pl-PL"/>
              </w:rPr>
              <w:br/>
              <w:t xml:space="preserve">Karol </w:t>
            </w:r>
            <w:proofErr w:type="spellStart"/>
            <w:r w:rsidRPr="000D08DE">
              <w:rPr>
                <w:rFonts w:ascii="Times New Roman" w:hAnsi="Times New Roman" w:cs="Times New Roman"/>
                <w:color w:val="000000"/>
                <w:sz w:val="16"/>
                <w:lang w:val="pl-PL"/>
              </w:rPr>
              <w:t>Kuźmicz</w:t>
            </w:r>
            <w:proofErr w:type="spellEnd"/>
          </w:p>
        </w:tc>
        <w:tc>
          <w:tcPr>
            <w:tcW w:w="2880" w:type="dxa"/>
            <w:shd w:val="clear" w:color="auto" w:fill="F3F4F6"/>
            <w:tcMar>
              <w:top w:w="100" w:type="dxa"/>
              <w:left w:w="110" w:type="dxa"/>
              <w:bottom w:w="100" w:type="dxa"/>
              <w:right w:w="110" w:type="dxa"/>
            </w:tcMar>
            <w:vAlign w:val="center"/>
          </w:tcPr>
          <w:p w14:paraId="677EEA53" w14:textId="77777777" w:rsidR="002334FE" w:rsidRPr="000D08DE" w:rsidRDefault="00440E91">
            <w:pPr>
              <w:spacing w:after="0" w:line="252" w:lineRule="auto"/>
              <w:rPr>
                <w:rFonts w:ascii="Times New Roman" w:hAnsi="Times New Roman" w:cs="Times New Roman"/>
                <w:lang w:val="pl-PL"/>
              </w:rPr>
            </w:pPr>
            <w:proofErr w:type="spellStart"/>
            <w:r w:rsidRPr="000D08DE">
              <w:rPr>
                <w:rFonts w:ascii="Times New Roman" w:hAnsi="Times New Roman" w:cs="Times New Roman"/>
                <w:color w:val="000000"/>
                <w:sz w:val="16"/>
                <w:lang w:val="pl-PL"/>
              </w:rPr>
              <w:t>Olympe</w:t>
            </w:r>
            <w:proofErr w:type="spellEnd"/>
            <w:r w:rsidRPr="000D08DE">
              <w:rPr>
                <w:rFonts w:ascii="Times New Roman" w:hAnsi="Times New Roman" w:cs="Times New Roman"/>
                <w:color w:val="000000"/>
                <w:sz w:val="16"/>
                <w:lang w:val="pl-PL"/>
              </w:rPr>
              <w:t xml:space="preserve"> de </w:t>
            </w:r>
            <w:proofErr w:type="spellStart"/>
            <w:r w:rsidRPr="000D08DE">
              <w:rPr>
                <w:rFonts w:ascii="Times New Roman" w:hAnsi="Times New Roman" w:cs="Times New Roman"/>
                <w:color w:val="000000"/>
                <w:sz w:val="16"/>
                <w:lang w:val="pl-PL"/>
              </w:rPr>
              <w:t>Gouges</w:t>
            </w:r>
            <w:proofErr w:type="spellEnd"/>
            <w:r w:rsidRPr="000D08DE">
              <w:rPr>
                <w:rFonts w:ascii="Times New Roman" w:hAnsi="Times New Roman" w:cs="Times New Roman"/>
                <w:color w:val="000000"/>
                <w:sz w:val="16"/>
                <w:lang w:val="pl-PL"/>
              </w:rPr>
              <w:t xml:space="preserve"> i Róża Luksemburg; wątek Milla pomijany.</w:t>
            </w:r>
          </w:p>
        </w:tc>
        <w:tc>
          <w:tcPr>
            <w:tcW w:w="2952" w:type="dxa"/>
            <w:shd w:val="clear" w:color="auto" w:fill="F3F4F6"/>
            <w:tcMar>
              <w:top w:w="100" w:type="dxa"/>
              <w:left w:w="110" w:type="dxa"/>
              <w:bottom w:w="100" w:type="dxa"/>
              <w:right w:w="110" w:type="dxa"/>
            </w:tcMar>
            <w:vAlign w:val="center"/>
          </w:tcPr>
          <w:p w14:paraId="0AF066D2"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 xml:space="preserve">Uznaje </w:t>
            </w:r>
            <w:proofErr w:type="spellStart"/>
            <w:r w:rsidRPr="000D08DE">
              <w:rPr>
                <w:rFonts w:ascii="Times New Roman" w:hAnsi="Times New Roman" w:cs="Times New Roman"/>
                <w:color w:val="000000"/>
                <w:sz w:val="16"/>
                <w:lang w:val="pl-PL"/>
              </w:rPr>
              <w:t>niedoreprezentowanie</w:t>
            </w:r>
            <w:proofErr w:type="spellEnd"/>
            <w:r w:rsidRPr="000D08DE">
              <w:rPr>
                <w:rFonts w:ascii="Times New Roman" w:hAnsi="Times New Roman" w:cs="Times New Roman"/>
                <w:color w:val="000000"/>
                <w:sz w:val="16"/>
                <w:lang w:val="pl-PL"/>
              </w:rPr>
              <w:t xml:space="preserve"> i potrzebę wydobywania nowych postaci.</w:t>
            </w:r>
          </w:p>
        </w:tc>
        <w:tc>
          <w:tcPr>
            <w:tcW w:w="2765" w:type="dxa"/>
            <w:shd w:val="clear" w:color="auto" w:fill="F3F4F6"/>
            <w:tcMar>
              <w:top w:w="100" w:type="dxa"/>
              <w:left w:w="110" w:type="dxa"/>
              <w:bottom w:w="100" w:type="dxa"/>
              <w:right w:w="110" w:type="dxa"/>
            </w:tcMar>
            <w:vAlign w:val="center"/>
          </w:tcPr>
          <w:p w14:paraId="43A532A6"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Bardzo mała liczba godzin, historycznie męska sfera polityki.</w:t>
            </w:r>
          </w:p>
        </w:tc>
      </w:tr>
      <w:tr w:rsidR="002334FE" w:rsidRPr="000D08DE" w14:paraId="7A4C079A" w14:textId="77777777">
        <w:trPr>
          <w:cantSplit/>
          <w:jc w:val="center"/>
        </w:trPr>
        <w:tc>
          <w:tcPr>
            <w:tcW w:w="1944" w:type="dxa"/>
            <w:tcMar>
              <w:top w:w="100" w:type="dxa"/>
              <w:left w:w="110" w:type="dxa"/>
              <w:bottom w:w="100" w:type="dxa"/>
              <w:right w:w="110" w:type="dxa"/>
            </w:tcMar>
            <w:vAlign w:val="center"/>
          </w:tcPr>
          <w:p w14:paraId="6F4F5026"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P05</w:t>
            </w:r>
            <w:r w:rsidRPr="000D08DE">
              <w:rPr>
                <w:rFonts w:ascii="Times New Roman" w:hAnsi="Times New Roman" w:cs="Times New Roman"/>
                <w:color w:val="000000"/>
                <w:sz w:val="16"/>
                <w:lang w:val="pl-PL"/>
              </w:rPr>
              <w:br/>
              <w:t>Marta Maj</w:t>
            </w:r>
          </w:p>
        </w:tc>
        <w:tc>
          <w:tcPr>
            <w:tcW w:w="2880" w:type="dxa"/>
            <w:tcMar>
              <w:top w:w="100" w:type="dxa"/>
              <w:left w:w="110" w:type="dxa"/>
              <w:bottom w:w="100" w:type="dxa"/>
              <w:right w:w="110" w:type="dxa"/>
            </w:tcMar>
            <w:vAlign w:val="center"/>
          </w:tcPr>
          <w:p w14:paraId="50C2B92A"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 xml:space="preserve">Przeważnie brak; sporadycznie Arendt i Chantal </w:t>
            </w:r>
            <w:proofErr w:type="spellStart"/>
            <w:r w:rsidRPr="000D08DE">
              <w:rPr>
                <w:rFonts w:ascii="Times New Roman" w:hAnsi="Times New Roman" w:cs="Times New Roman"/>
                <w:color w:val="000000"/>
                <w:sz w:val="16"/>
                <w:lang w:val="pl-PL"/>
              </w:rPr>
              <w:t>Delsol</w:t>
            </w:r>
            <w:proofErr w:type="spellEnd"/>
            <w:r w:rsidRPr="000D08DE">
              <w:rPr>
                <w:rFonts w:ascii="Times New Roman" w:hAnsi="Times New Roman" w:cs="Times New Roman"/>
                <w:color w:val="000000"/>
                <w:sz w:val="16"/>
                <w:lang w:val="pl-PL"/>
              </w:rPr>
              <w:t>; kobiety częściej jako przedmiot poglądów mężczyzn.</w:t>
            </w:r>
          </w:p>
        </w:tc>
        <w:tc>
          <w:tcPr>
            <w:tcW w:w="2952" w:type="dxa"/>
            <w:tcMar>
              <w:top w:w="100" w:type="dxa"/>
              <w:left w:w="110" w:type="dxa"/>
              <w:bottom w:w="100" w:type="dxa"/>
              <w:right w:w="110" w:type="dxa"/>
            </w:tcMar>
            <w:vAlign w:val="center"/>
          </w:tcPr>
          <w:p w14:paraId="594667BC"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Wyraźne poparcie dla zmiany i problemowej przebudowy sylabusa.</w:t>
            </w:r>
          </w:p>
        </w:tc>
        <w:tc>
          <w:tcPr>
            <w:tcW w:w="2765" w:type="dxa"/>
            <w:tcMar>
              <w:top w:w="100" w:type="dxa"/>
              <w:left w:w="110" w:type="dxa"/>
              <w:bottom w:w="100" w:type="dxa"/>
              <w:right w:w="110" w:type="dxa"/>
            </w:tcMar>
            <w:vAlign w:val="center"/>
          </w:tcPr>
          <w:p w14:paraId="7D066B37"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Chronologia, niedocieranie do współczesności, czas; potrzeba zachowania klasyków.</w:t>
            </w:r>
          </w:p>
        </w:tc>
      </w:tr>
      <w:tr w:rsidR="002334FE" w:rsidRPr="000D08DE" w14:paraId="57156008" w14:textId="77777777">
        <w:trPr>
          <w:cantSplit/>
          <w:jc w:val="center"/>
        </w:trPr>
        <w:tc>
          <w:tcPr>
            <w:tcW w:w="1944" w:type="dxa"/>
            <w:shd w:val="clear" w:color="auto" w:fill="F3F4F6"/>
            <w:tcMar>
              <w:top w:w="100" w:type="dxa"/>
              <w:left w:w="110" w:type="dxa"/>
              <w:bottom w:w="100" w:type="dxa"/>
              <w:right w:w="110" w:type="dxa"/>
            </w:tcMar>
            <w:vAlign w:val="center"/>
          </w:tcPr>
          <w:p w14:paraId="51CC8B11"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P06</w:t>
            </w:r>
            <w:r w:rsidRPr="000D08DE">
              <w:rPr>
                <w:rFonts w:ascii="Times New Roman" w:hAnsi="Times New Roman" w:cs="Times New Roman"/>
                <w:color w:val="000000"/>
                <w:sz w:val="16"/>
                <w:lang w:val="pl-PL"/>
              </w:rPr>
              <w:br/>
              <w:t>Olgierd Górecki</w:t>
            </w:r>
          </w:p>
        </w:tc>
        <w:tc>
          <w:tcPr>
            <w:tcW w:w="2880" w:type="dxa"/>
            <w:shd w:val="clear" w:color="auto" w:fill="F3F4F6"/>
            <w:tcMar>
              <w:top w:w="100" w:type="dxa"/>
              <w:left w:w="110" w:type="dxa"/>
              <w:bottom w:w="100" w:type="dxa"/>
              <w:right w:w="110" w:type="dxa"/>
            </w:tcMar>
            <w:vAlign w:val="center"/>
          </w:tcPr>
          <w:p w14:paraId="2EFFE936" w14:textId="77777777" w:rsidR="002334FE" w:rsidRPr="000D08DE" w:rsidRDefault="00440E91">
            <w:pPr>
              <w:spacing w:after="0" w:line="252" w:lineRule="auto"/>
              <w:rPr>
                <w:rFonts w:ascii="Times New Roman" w:hAnsi="Times New Roman" w:cs="Times New Roman"/>
                <w:lang w:val="pl-PL"/>
              </w:rPr>
            </w:pPr>
            <w:proofErr w:type="spellStart"/>
            <w:r w:rsidRPr="000D08DE">
              <w:rPr>
                <w:rFonts w:ascii="Times New Roman" w:hAnsi="Times New Roman" w:cs="Times New Roman"/>
                <w:color w:val="000000"/>
                <w:sz w:val="16"/>
                <w:lang w:val="pl-PL"/>
              </w:rPr>
              <w:t>Wollstonecraft</w:t>
            </w:r>
            <w:proofErr w:type="spellEnd"/>
            <w:r w:rsidRPr="000D08DE">
              <w:rPr>
                <w:rFonts w:ascii="Times New Roman" w:hAnsi="Times New Roman" w:cs="Times New Roman"/>
                <w:color w:val="000000"/>
                <w:sz w:val="16"/>
                <w:lang w:val="pl-PL"/>
              </w:rPr>
              <w:t>, Luksemburg i Arendt krótko; prawa kobiet u Milla i Spencera; feminizm przy większej liczbie godzin.</w:t>
            </w:r>
          </w:p>
        </w:tc>
        <w:tc>
          <w:tcPr>
            <w:tcW w:w="2952" w:type="dxa"/>
            <w:shd w:val="clear" w:color="auto" w:fill="F3F4F6"/>
            <w:tcMar>
              <w:top w:w="100" w:type="dxa"/>
              <w:left w:w="110" w:type="dxa"/>
              <w:bottom w:w="100" w:type="dxa"/>
              <w:right w:w="110" w:type="dxa"/>
            </w:tcMar>
            <w:vAlign w:val="center"/>
          </w:tcPr>
          <w:p w14:paraId="2AA294E2"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Uznaje istniejącą obecność za wystarczającą; sceptyczny wobec dodatkowej promocji.</w:t>
            </w:r>
          </w:p>
        </w:tc>
        <w:tc>
          <w:tcPr>
            <w:tcW w:w="2765" w:type="dxa"/>
            <w:shd w:val="clear" w:color="auto" w:fill="F3F4F6"/>
            <w:tcMar>
              <w:top w:w="100" w:type="dxa"/>
              <w:left w:w="110" w:type="dxa"/>
              <w:bottom w:w="100" w:type="dxa"/>
              <w:right w:w="110" w:type="dxa"/>
            </w:tcMar>
            <w:vAlign w:val="center"/>
          </w:tcPr>
          <w:p w14:paraId="3A367AE4"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Przede wszystkim redukcja godzin; brak innych barier w jego ocenie.</w:t>
            </w:r>
          </w:p>
        </w:tc>
      </w:tr>
      <w:tr w:rsidR="002334FE" w:rsidRPr="000D08DE" w14:paraId="54EB709E" w14:textId="77777777">
        <w:trPr>
          <w:cantSplit/>
          <w:jc w:val="center"/>
        </w:trPr>
        <w:tc>
          <w:tcPr>
            <w:tcW w:w="1944" w:type="dxa"/>
            <w:tcMar>
              <w:top w:w="100" w:type="dxa"/>
              <w:left w:w="110" w:type="dxa"/>
              <w:bottom w:w="100" w:type="dxa"/>
              <w:right w:w="110" w:type="dxa"/>
            </w:tcMar>
            <w:vAlign w:val="center"/>
          </w:tcPr>
          <w:p w14:paraId="6A11FFA0"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P07</w:t>
            </w:r>
            <w:r w:rsidRPr="000D08DE">
              <w:rPr>
                <w:rFonts w:ascii="Times New Roman" w:hAnsi="Times New Roman" w:cs="Times New Roman"/>
                <w:color w:val="000000"/>
                <w:sz w:val="16"/>
                <w:lang w:val="pl-PL"/>
              </w:rPr>
              <w:br/>
              <w:t>Cezary Błaszczyk</w:t>
            </w:r>
          </w:p>
        </w:tc>
        <w:tc>
          <w:tcPr>
            <w:tcW w:w="2880" w:type="dxa"/>
            <w:tcMar>
              <w:top w:w="100" w:type="dxa"/>
              <w:left w:w="110" w:type="dxa"/>
              <w:bottom w:w="100" w:type="dxa"/>
              <w:right w:w="110" w:type="dxa"/>
            </w:tcMar>
            <w:vAlign w:val="center"/>
          </w:tcPr>
          <w:p w14:paraId="4F888C78" w14:textId="067F0EC5"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 xml:space="preserve">Relatywnie szeroka i samodzielna: </w:t>
            </w:r>
            <w:proofErr w:type="spellStart"/>
            <w:r w:rsidRPr="000D08DE">
              <w:rPr>
                <w:rFonts w:ascii="Times New Roman" w:hAnsi="Times New Roman" w:cs="Times New Roman"/>
                <w:color w:val="000000"/>
                <w:sz w:val="16"/>
                <w:lang w:val="pl-PL"/>
              </w:rPr>
              <w:t>Wollstonecraft</w:t>
            </w:r>
            <w:proofErr w:type="spellEnd"/>
            <w:r w:rsidRPr="000D08DE">
              <w:rPr>
                <w:rFonts w:ascii="Times New Roman" w:hAnsi="Times New Roman" w:cs="Times New Roman"/>
                <w:color w:val="000000"/>
                <w:sz w:val="16"/>
                <w:lang w:val="pl-PL"/>
              </w:rPr>
              <w:t xml:space="preserve">, de </w:t>
            </w:r>
            <w:proofErr w:type="spellStart"/>
            <w:r w:rsidRPr="000D08DE">
              <w:rPr>
                <w:rFonts w:ascii="Times New Roman" w:hAnsi="Times New Roman" w:cs="Times New Roman"/>
                <w:color w:val="000000"/>
                <w:sz w:val="16"/>
                <w:lang w:val="pl-PL"/>
              </w:rPr>
              <w:t>Gouges</w:t>
            </w:r>
            <w:proofErr w:type="spellEnd"/>
            <w:r w:rsidRPr="000D08DE">
              <w:rPr>
                <w:rFonts w:ascii="Times New Roman" w:hAnsi="Times New Roman" w:cs="Times New Roman"/>
                <w:color w:val="000000"/>
                <w:sz w:val="16"/>
                <w:lang w:val="pl-PL"/>
              </w:rPr>
              <w:t xml:space="preserve">, </w:t>
            </w:r>
            <w:proofErr w:type="spellStart"/>
            <w:r w:rsidRPr="000D08DE">
              <w:rPr>
                <w:rFonts w:ascii="Times New Roman" w:hAnsi="Times New Roman" w:cs="Times New Roman"/>
                <w:color w:val="000000"/>
                <w:sz w:val="16"/>
                <w:lang w:val="pl-PL"/>
              </w:rPr>
              <w:t>Friedan</w:t>
            </w:r>
            <w:proofErr w:type="spellEnd"/>
            <w:r w:rsidRPr="000D08DE">
              <w:rPr>
                <w:rFonts w:ascii="Times New Roman" w:hAnsi="Times New Roman" w:cs="Times New Roman"/>
                <w:color w:val="000000"/>
                <w:sz w:val="16"/>
                <w:lang w:val="pl-PL"/>
              </w:rPr>
              <w:t>,</w:t>
            </w:r>
            <w:r w:rsidRPr="000D08DE">
              <w:rPr>
                <w:rFonts w:ascii="Times New Roman" w:hAnsi="Times New Roman" w:cs="Times New Roman"/>
                <w:color w:val="000000"/>
                <w:sz w:val="16"/>
                <w:lang w:val="pl-PL"/>
              </w:rPr>
              <w:t xml:space="preserve"> </w:t>
            </w:r>
            <w:proofErr w:type="spellStart"/>
            <w:r w:rsidRPr="000D08DE">
              <w:rPr>
                <w:rFonts w:ascii="Times New Roman" w:hAnsi="Times New Roman" w:cs="Times New Roman"/>
                <w:color w:val="000000"/>
                <w:sz w:val="16"/>
                <w:lang w:val="pl-PL"/>
              </w:rPr>
              <w:t>Harriet</w:t>
            </w:r>
            <w:proofErr w:type="spellEnd"/>
            <w:r w:rsidRPr="000D08DE">
              <w:rPr>
                <w:rFonts w:ascii="Times New Roman" w:hAnsi="Times New Roman" w:cs="Times New Roman"/>
                <w:color w:val="000000"/>
                <w:sz w:val="16"/>
                <w:lang w:val="pl-PL"/>
              </w:rPr>
              <w:t xml:space="preserve"> Taylor Mill; osobne materiały.</w:t>
            </w:r>
          </w:p>
        </w:tc>
        <w:tc>
          <w:tcPr>
            <w:tcW w:w="2952" w:type="dxa"/>
            <w:tcMar>
              <w:top w:w="100" w:type="dxa"/>
              <w:left w:w="110" w:type="dxa"/>
              <w:bottom w:w="100" w:type="dxa"/>
              <w:right w:w="110" w:type="dxa"/>
            </w:tcMar>
            <w:vAlign w:val="center"/>
          </w:tcPr>
          <w:p w14:paraId="4481AE49"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Wyraźne poparcie dla aktualizacji i krytycznej refleksji.</w:t>
            </w:r>
          </w:p>
        </w:tc>
        <w:tc>
          <w:tcPr>
            <w:tcW w:w="2765" w:type="dxa"/>
            <w:tcMar>
              <w:top w:w="100" w:type="dxa"/>
              <w:left w:w="110" w:type="dxa"/>
              <w:bottom w:w="100" w:type="dxa"/>
              <w:right w:w="110" w:type="dxa"/>
            </w:tcMar>
            <w:vAlign w:val="center"/>
          </w:tcPr>
          <w:p w14:paraId="3E08066E"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 xml:space="preserve">Negatywne reakcje środowiskowe na </w:t>
            </w:r>
            <w:proofErr w:type="spellStart"/>
            <w:r w:rsidRPr="000D08DE">
              <w:rPr>
                <w:rFonts w:ascii="Times New Roman" w:hAnsi="Times New Roman" w:cs="Times New Roman"/>
                <w:color w:val="000000"/>
                <w:sz w:val="16"/>
                <w:lang w:val="pl-PL"/>
              </w:rPr>
              <w:t>gender</w:t>
            </w:r>
            <w:proofErr w:type="spellEnd"/>
            <w:r w:rsidRPr="000D08DE">
              <w:rPr>
                <w:rFonts w:ascii="Times New Roman" w:hAnsi="Times New Roman" w:cs="Times New Roman"/>
                <w:color w:val="000000"/>
                <w:sz w:val="16"/>
                <w:lang w:val="pl-PL"/>
              </w:rPr>
              <w:t>, hierarchia katedry, przestarzały program.</w:t>
            </w:r>
          </w:p>
        </w:tc>
      </w:tr>
      <w:tr w:rsidR="002334FE" w:rsidRPr="000D08DE" w14:paraId="2C429DD1" w14:textId="77777777">
        <w:trPr>
          <w:cantSplit/>
          <w:jc w:val="center"/>
        </w:trPr>
        <w:tc>
          <w:tcPr>
            <w:tcW w:w="1944" w:type="dxa"/>
            <w:shd w:val="clear" w:color="auto" w:fill="F3F4F6"/>
            <w:tcMar>
              <w:top w:w="100" w:type="dxa"/>
              <w:left w:w="110" w:type="dxa"/>
              <w:bottom w:w="100" w:type="dxa"/>
              <w:right w:w="110" w:type="dxa"/>
            </w:tcMar>
            <w:vAlign w:val="center"/>
          </w:tcPr>
          <w:p w14:paraId="674C4240"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P08</w:t>
            </w:r>
            <w:r w:rsidRPr="000D08DE">
              <w:rPr>
                <w:rFonts w:ascii="Times New Roman" w:hAnsi="Times New Roman" w:cs="Times New Roman"/>
                <w:color w:val="000000"/>
                <w:sz w:val="16"/>
                <w:lang w:val="pl-PL"/>
              </w:rPr>
              <w:br/>
              <w:t>Michał Urbańczyk</w:t>
            </w:r>
          </w:p>
        </w:tc>
        <w:tc>
          <w:tcPr>
            <w:tcW w:w="2880" w:type="dxa"/>
            <w:shd w:val="clear" w:color="auto" w:fill="F3F4F6"/>
            <w:tcMar>
              <w:top w:w="100" w:type="dxa"/>
              <w:left w:w="110" w:type="dxa"/>
              <w:bottom w:w="100" w:type="dxa"/>
              <w:right w:w="110" w:type="dxa"/>
            </w:tcMar>
            <w:vAlign w:val="center"/>
          </w:tcPr>
          <w:p w14:paraId="73967DD1"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 xml:space="preserve">Feminizm i wybrane autorki; </w:t>
            </w:r>
            <w:proofErr w:type="spellStart"/>
            <w:r w:rsidRPr="000D08DE">
              <w:rPr>
                <w:rFonts w:ascii="Times New Roman" w:hAnsi="Times New Roman" w:cs="Times New Roman"/>
                <w:color w:val="000000"/>
                <w:sz w:val="16"/>
                <w:lang w:val="pl-PL"/>
              </w:rPr>
              <w:t>Wollstonecraft</w:t>
            </w:r>
            <w:proofErr w:type="spellEnd"/>
            <w:r w:rsidRPr="000D08DE">
              <w:rPr>
                <w:rFonts w:ascii="Times New Roman" w:hAnsi="Times New Roman" w:cs="Times New Roman"/>
                <w:color w:val="000000"/>
                <w:sz w:val="16"/>
                <w:lang w:val="pl-PL"/>
              </w:rPr>
              <w:t xml:space="preserve"> wspominana; </w:t>
            </w:r>
            <w:proofErr w:type="gramStart"/>
            <w:r w:rsidRPr="000D08DE">
              <w:rPr>
                <w:rFonts w:ascii="Times New Roman" w:hAnsi="Times New Roman" w:cs="Times New Roman"/>
                <w:color w:val="000000"/>
                <w:sz w:val="16"/>
                <w:lang w:val="pl-PL"/>
              </w:rPr>
              <w:t>niewiele</w:t>
            </w:r>
            <w:proofErr w:type="gramEnd"/>
            <w:r w:rsidRPr="000D08DE">
              <w:rPr>
                <w:rFonts w:ascii="Times New Roman" w:hAnsi="Times New Roman" w:cs="Times New Roman"/>
                <w:color w:val="000000"/>
                <w:sz w:val="16"/>
                <w:lang w:val="pl-PL"/>
              </w:rPr>
              <w:t xml:space="preserve"> poza tym nurtem.</w:t>
            </w:r>
          </w:p>
        </w:tc>
        <w:tc>
          <w:tcPr>
            <w:tcW w:w="2952" w:type="dxa"/>
            <w:shd w:val="clear" w:color="auto" w:fill="F3F4F6"/>
            <w:tcMar>
              <w:top w:w="100" w:type="dxa"/>
              <w:left w:w="110" w:type="dxa"/>
              <w:bottom w:w="100" w:type="dxa"/>
              <w:right w:w="110" w:type="dxa"/>
            </w:tcMar>
            <w:vAlign w:val="center"/>
          </w:tcPr>
          <w:p w14:paraId="6F65C2B1"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Zmiana możliwa przez odejście od wyłącznie historycznego modelu; ostrożne podejście.</w:t>
            </w:r>
          </w:p>
        </w:tc>
        <w:tc>
          <w:tcPr>
            <w:tcW w:w="2765" w:type="dxa"/>
            <w:shd w:val="clear" w:color="auto" w:fill="F3F4F6"/>
            <w:tcMar>
              <w:top w:w="100" w:type="dxa"/>
              <w:left w:w="110" w:type="dxa"/>
              <w:bottom w:w="100" w:type="dxa"/>
              <w:right w:w="110" w:type="dxa"/>
            </w:tcMar>
            <w:vAlign w:val="center"/>
          </w:tcPr>
          <w:p w14:paraId="2DEB059A"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Historyczne wykluczenie, przyzwyczajenie, maskulinizacja i słaba pozycja dyscypliny.</w:t>
            </w:r>
          </w:p>
        </w:tc>
      </w:tr>
      <w:tr w:rsidR="002334FE" w:rsidRPr="000D08DE" w14:paraId="211D3241" w14:textId="77777777">
        <w:trPr>
          <w:cantSplit/>
          <w:jc w:val="center"/>
        </w:trPr>
        <w:tc>
          <w:tcPr>
            <w:tcW w:w="1944" w:type="dxa"/>
            <w:tcMar>
              <w:top w:w="100" w:type="dxa"/>
              <w:left w:w="110" w:type="dxa"/>
              <w:bottom w:w="100" w:type="dxa"/>
              <w:right w:w="110" w:type="dxa"/>
            </w:tcMar>
            <w:vAlign w:val="center"/>
          </w:tcPr>
          <w:p w14:paraId="12AD2F99"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P09</w:t>
            </w:r>
            <w:r w:rsidRPr="000D08DE">
              <w:rPr>
                <w:rFonts w:ascii="Times New Roman" w:hAnsi="Times New Roman" w:cs="Times New Roman"/>
                <w:color w:val="000000"/>
                <w:sz w:val="16"/>
                <w:lang w:val="pl-PL"/>
              </w:rPr>
              <w:br/>
              <w:t>Iwona Barwicka Tylek</w:t>
            </w:r>
          </w:p>
        </w:tc>
        <w:tc>
          <w:tcPr>
            <w:tcW w:w="2880" w:type="dxa"/>
            <w:tcMar>
              <w:top w:w="100" w:type="dxa"/>
              <w:left w:w="110" w:type="dxa"/>
              <w:bottom w:w="100" w:type="dxa"/>
              <w:right w:w="110" w:type="dxa"/>
            </w:tcMar>
            <w:vAlign w:val="center"/>
          </w:tcPr>
          <w:p w14:paraId="1907BDCD"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 xml:space="preserve">Kobiety jako element kontekstu epoki i wyjątki; Arendt, </w:t>
            </w:r>
            <w:proofErr w:type="spellStart"/>
            <w:r w:rsidRPr="000D08DE">
              <w:rPr>
                <w:rFonts w:ascii="Times New Roman" w:hAnsi="Times New Roman" w:cs="Times New Roman"/>
                <w:color w:val="000000"/>
                <w:sz w:val="16"/>
                <w:lang w:val="pl-PL"/>
              </w:rPr>
              <w:t>Rand</w:t>
            </w:r>
            <w:proofErr w:type="spellEnd"/>
            <w:r w:rsidRPr="000D08DE">
              <w:rPr>
                <w:rFonts w:ascii="Times New Roman" w:hAnsi="Times New Roman" w:cs="Times New Roman"/>
                <w:color w:val="000000"/>
                <w:sz w:val="16"/>
                <w:lang w:val="pl-PL"/>
              </w:rPr>
              <w:t>, Aspazja; bez mechanicznego wyławiania postaci.</w:t>
            </w:r>
          </w:p>
        </w:tc>
        <w:tc>
          <w:tcPr>
            <w:tcW w:w="2952" w:type="dxa"/>
            <w:tcMar>
              <w:top w:w="100" w:type="dxa"/>
              <w:left w:w="110" w:type="dxa"/>
              <w:bottom w:w="100" w:type="dxa"/>
              <w:right w:w="110" w:type="dxa"/>
            </w:tcMar>
            <w:vAlign w:val="center"/>
          </w:tcPr>
          <w:p w14:paraId="5909244F"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Popiera nową narrację i badania, ale odrzuca płeć jako samodzielne kryterium doboru.</w:t>
            </w:r>
          </w:p>
        </w:tc>
        <w:tc>
          <w:tcPr>
            <w:tcW w:w="2765" w:type="dxa"/>
            <w:tcMar>
              <w:top w:w="100" w:type="dxa"/>
              <w:left w:w="110" w:type="dxa"/>
              <w:bottom w:w="100" w:type="dxa"/>
              <w:right w:w="110" w:type="dxa"/>
            </w:tcMar>
            <w:vAlign w:val="center"/>
          </w:tcPr>
          <w:p w14:paraId="4EC2C570" w14:textId="1BCFA8F1"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Czas</w:t>
            </w:r>
            <w:r w:rsidRPr="000D08DE">
              <w:rPr>
                <w:rFonts w:ascii="Times New Roman" w:hAnsi="Times New Roman" w:cs="Times New Roman"/>
                <w:color w:val="000000"/>
                <w:sz w:val="16"/>
                <w:lang w:val="pl-PL"/>
              </w:rPr>
              <w:t>, ryzyko sztucznego dopisywania i prezentyzmu.</w:t>
            </w:r>
          </w:p>
        </w:tc>
      </w:tr>
      <w:tr w:rsidR="002334FE" w:rsidRPr="000D08DE" w14:paraId="75335B93" w14:textId="77777777">
        <w:trPr>
          <w:cantSplit/>
          <w:jc w:val="center"/>
        </w:trPr>
        <w:tc>
          <w:tcPr>
            <w:tcW w:w="1944" w:type="dxa"/>
            <w:shd w:val="clear" w:color="auto" w:fill="F3F4F6"/>
            <w:tcMar>
              <w:top w:w="100" w:type="dxa"/>
              <w:left w:w="110" w:type="dxa"/>
              <w:bottom w:w="100" w:type="dxa"/>
              <w:right w:w="110" w:type="dxa"/>
            </w:tcMar>
            <w:vAlign w:val="center"/>
          </w:tcPr>
          <w:p w14:paraId="781DB5E9"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P10</w:t>
            </w:r>
            <w:r w:rsidRPr="000D08DE">
              <w:rPr>
                <w:rFonts w:ascii="Times New Roman" w:hAnsi="Times New Roman" w:cs="Times New Roman"/>
                <w:color w:val="000000"/>
                <w:sz w:val="16"/>
                <w:lang w:val="pl-PL"/>
              </w:rPr>
              <w:br/>
              <w:t xml:space="preserve">Michał </w:t>
            </w:r>
            <w:proofErr w:type="spellStart"/>
            <w:r w:rsidRPr="000D08DE">
              <w:rPr>
                <w:rFonts w:ascii="Times New Roman" w:hAnsi="Times New Roman" w:cs="Times New Roman"/>
                <w:color w:val="000000"/>
                <w:sz w:val="16"/>
                <w:lang w:val="pl-PL"/>
              </w:rPr>
              <w:t>Rupniewski</w:t>
            </w:r>
            <w:proofErr w:type="spellEnd"/>
          </w:p>
        </w:tc>
        <w:tc>
          <w:tcPr>
            <w:tcW w:w="2880" w:type="dxa"/>
            <w:shd w:val="clear" w:color="auto" w:fill="F3F4F6"/>
            <w:tcMar>
              <w:top w:w="100" w:type="dxa"/>
              <w:left w:w="110" w:type="dxa"/>
              <w:bottom w:w="100" w:type="dxa"/>
              <w:right w:w="110" w:type="dxa"/>
            </w:tcMar>
            <w:vAlign w:val="center"/>
          </w:tcPr>
          <w:p w14:paraId="26D8A4BB" w14:textId="50FAF44F"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 xml:space="preserve">Feminizm </w:t>
            </w:r>
            <w:r w:rsidR="00A6683E" w:rsidRPr="000D08DE">
              <w:rPr>
                <w:rFonts w:ascii="Times New Roman" w:hAnsi="Times New Roman" w:cs="Times New Roman"/>
                <w:color w:val="000000"/>
                <w:sz w:val="16"/>
                <w:lang w:val="pl-PL"/>
              </w:rPr>
              <w:t>(</w:t>
            </w:r>
            <w:proofErr w:type="spellStart"/>
            <w:r w:rsidR="00A6683E" w:rsidRPr="000D08DE">
              <w:rPr>
                <w:rFonts w:ascii="Times New Roman" w:hAnsi="Times New Roman" w:cs="Times New Roman"/>
                <w:color w:val="000000"/>
                <w:sz w:val="16"/>
                <w:lang w:val="pl-PL"/>
              </w:rPr>
              <w:t>Friedan</w:t>
            </w:r>
            <w:proofErr w:type="spellEnd"/>
            <w:r w:rsidR="00A6683E" w:rsidRPr="000D08DE">
              <w:rPr>
                <w:rFonts w:ascii="Times New Roman" w:hAnsi="Times New Roman" w:cs="Times New Roman"/>
                <w:color w:val="000000"/>
                <w:sz w:val="16"/>
                <w:lang w:val="pl-PL"/>
              </w:rPr>
              <w:t xml:space="preserve">, Butler), M. </w:t>
            </w:r>
            <w:proofErr w:type="spellStart"/>
            <w:r w:rsidR="00A6683E" w:rsidRPr="000D08DE">
              <w:rPr>
                <w:rFonts w:ascii="Times New Roman" w:hAnsi="Times New Roman" w:cs="Times New Roman"/>
                <w:color w:val="000000"/>
                <w:sz w:val="16"/>
                <w:lang w:val="pl-PL"/>
              </w:rPr>
              <w:t>Nussbaum</w:t>
            </w:r>
            <w:proofErr w:type="spellEnd"/>
            <w:r w:rsidR="00A6683E" w:rsidRPr="000D08DE">
              <w:rPr>
                <w:rFonts w:ascii="Times New Roman" w:hAnsi="Times New Roman" w:cs="Times New Roman"/>
                <w:color w:val="000000"/>
                <w:sz w:val="16"/>
                <w:lang w:val="pl-PL"/>
              </w:rPr>
              <w:t xml:space="preserve"> na</w:t>
            </w:r>
            <w:r w:rsidRPr="000D08DE">
              <w:rPr>
                <w:rFonts w:ascii="Times New Roman" w:hAnsi="Times New Roman" w:cs="Times New Roman"/>
                <w:color w:val="000000"/>
                <w:sz w:val="16"/>
                <w:lang w:val="pl-PL"/>
              </w:rPr>
              <w:t xml:space="preserve"> polityce społecznej, prawie nieobecne w kursie dla prawników.</w:t>
            </w:r>
          </w:p>
        </w:tc>
        <w:tc>
          <w:tcPr>
            <w:tcW w:w="2952" w:type="dxa"/>
            <w:shd w:val="clear" w:color="auto" w:fill="F3F4F6"/>
            <w:tcMar>
              <w:top w:w="100" w:type="dxa"/>
              <w:left w:w="110" w:type="dxa"/>
              <w:bottom w:w="100" w:type="dxa"/>
              <w:right w:w="110" w:type="dxa"/>
            </w:tcMar>
            <w:vAlign w:val="center"/>
          </w:tcPr>
          <w:p w14:paraId="603461CA" w14:textId="77777777" w:rsidR="002334FE" w:rsidRPr="000D08DE" w:rsidRDefault="00440E91">
            <w:pPr>
              <w:spacing w:after="0" w:line="252" w:lineRule="auto"/>
              <w:rPr>
                <w:rFonts w:ascii="Times New Roman" w:hAnsi="Times New Roman" w:cs="Times New Roman"/>
                <w:lang w:val="pl-PL"/>
              </w:rPr>
            </w:pPr>
            <w:proofErr w:type="spellStart"/>
            <w:r w:rsidRPr="000D08DE">
              <w:rPr>
                <w:rFonts w:ascii="Times New Roman" w:hAnsi="Times New Roman" w:cs="Times New Roman"/>
                <w:color w:val="000000"/>
                <w:sz w:val="16"/>
                <w:lang w:val="pl-PL"/>
              </w:rPr>
              <w:t>Gender</w:t>
            </w:r>
            <w:proofErr w:type="spellEnd"/>
            <w:r w:rsidRPr="000D08DE">
              <w:rPr>
                <w:rFonts w:ascii="Times New Roman" w:hAnsi="Times New Roman" w:cs="Times New Roman"/>
                <w:color w:val="000000"/>
                <w:sz w:val="16"/>
                <w:lang w:val="pl-PL"/>
              </w:rPr>
              <w:t xml:space="preserve"> blind, ale uznaje pominięcie kobiet i refleksyjny potencjał projektu.</w:t>
            </w:r>
          </w:p>
        </w:tc>
        <w:tc>
          <w:tcPr>
            <w:tcW w:w="2765" w:type="dxa"/>
            <w:shd w:val="clear" w:color="auto" w:fill="F3F4F6"/>
            <w:tcMar>
              <w:top w:w="100" w:type="dxa"/>
              <w:left w:w="110" w:type="dxa"/>
              <w:bottom w:w="100" w:type="dxa"/>
              <w:right w:w="110" w:type="dxa"/>
            </w:tcMar>
            <w:vAlign w:val="center"/>
          </w:tcPr>
          <w:p w14:paraId="549863A4"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Czas, męskie środowisko dyscypliny, utrwalony zakres kursu.</w:t>
            </w:r>
          </w:p>
        </w:tc>
      </w:tr>
      <w:tr w:rsidR="002334FE" w:rsidRPr="000D08DE" w14:paraId="2845A91B" w14:textId="77777777">
        <w:trPr>
          <w:cantSplit/>
          <w:jc w:val="center"/>
        </w:trPr>
        <w:tc>
          <w:tcPr>
            <w:tcW w:w="1944" w:type="dxa"/>
            <w:tcMar>
              <w:top w:w="100" w:type="dxa"/>
              <w:left w:w="110" w:type="dxa"/>
              <w:bottom w:w="100" w:type="dxa"/>
              <w:right w:w="110" w:type="dxa"/>
            </w:tcMar>
            <w:vAlign w:val="center"/>
          </w:tcPr>
          <w:p w14:paraId="4E4CFDCE"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P11</w:t>
            </w:r>
            <w:r w:rsidRPr="000D08DE">
              <w:rPr>
                <w:rFonts w:ascii="Times New Roman" w:hAnsi="Times New Roman" w:cs="Times New Roman"/>
                <w:color w:val="000000"/>
                <w:sz w:val="16"/>
                <w:lang w:val="pl-PL"/>
              </w:rPr>
              <w:br/>
              <w:t>Anna Tarnowska</w:t>
            </w:r>
          </w:p>
        </w:tc>
        <w:tc>
          <w:tcPr>
            <w:tcW w:w="2880" w:type="dxa"/>
            <w:tcMar>
              <w:top w:w="100" w:type="dxa"/>
              <w:left w:w="110" w:type="dxa"/>
              <w:bottom w:w="100" w:type="dxa"/>
              <w:right w:w="110" w:type="dxa"/>
            </w:tcMar>
            <w:vAlign w:val="center"/>
          </w:tcPr>
          <w:p w14:paraId="7AB194C9"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 xml:space="preserve">De </w:t>
            </w:r>
            <w:proofErr w:type="spellStart"/>
            <w:r w:rsidRPr="000D08DE">
              <w:rPr>
                <w:rFonts w:ascii="Times New Roman" w:hAnsi="Times New Roman" w:cs="Times New Roman"/>
                <w:color w:val="000000"/>
                <w:sz w:val="16"/>
                <w:lang w:val="pl-PL"/>
              </w:rPr>
              <w:t>Gouges</w:t>
            </w:r>
            <w:proofErr w:type="spellEnd"/>
            <w:r w:rsidRPr="000D08DE">
              <w:rPr>
                <w:rFonts w:ascii="Times New Roman" w:hAnsi="Times New Roman" w:cs="Times New Roman"/>
                <w:color w:val="000000"/>
                <w:sz w:val="16"/>
                <w:lang w:val="pl-PL"/>
              </w:rPr>
              <w:t xml:space="preserve"> omawiana odrębnie; </w:t>
            </w:r>
            <w:proofErr w:type="spellStart"/>
            <w:r w:rsidRPr="000D08DE">
              <w:rPr>
                <w:rFonts w:ascii="Times New Roman" w:hAnsi="Times New Roman" w:cs="Times New Roman"/>
                <w:color w:val="000000"/>
                <w:sz w:val="16"/>
                <w:lang w:val="pl-PL"/>
              </w:rPr>
              <w:t>Wollstonecraft</w:t>
            </w:r>
            <w:proofErr w:type="spellEnd"/>
            <w:r w:rsidRPr="000D08DE">
              <w:rPr>
                <w:rFonts w:ascii="Times New Roman" w:hAnsi="Times New Roman" w:cs="Times New Roman"/>
                <w:color w:val="000000"/>
                <w:sz w:val="16"/>
                <w:lang w:val="pl-PL"/>
              </w:rPr>
              <w:t xml:space="preserve"> i </w:t>
            </w:r>
            <w:proofErr w:type="spellStart"/>
            <w:r w:rsidRPr="000D08DE">
              <w:rPr>
                <w:rFonts w:ascii="Times New Roman" w:hAnsi="Times New Roman" w:cs="Times New Roman"/>
                <w:color w:val="000000"/>
                <w:sz w:val="16"/>
                <w:lang w:val="pl-PL"/>
              </w:rPr>
              <w:t>Harriet</w:t>
            </w:r>
            <w:proofErr w:type="spellEnd"/>
            <w:r w:rsidRPr="000D08DE">
              <w:rPr>
                <w:rFonts w:ascii="Times New Roman" w:hAnsi="Times New Roman" w:cs="Times New Roman"/>
                <w:color w:val="000000"/>
                <w:sz w:val="16"/>
                <w:lang w:val="pl-PL"/>
              </w:rPr>
              <w:t xml:space="preserve"> Taylor Mill wzmiankowane; materiały autorskie.</w:t>
            </w:r>
          </w:p>
        </w:tc>
        <w:tc>
          <w:tcPr>
            <w:tcW w:w="2952" w:type="dxa"/>
            <w:tcMar>
              <w:top w:w="100" w:type="dxa"/>
              <w:left w:w="110" w:type="dxa"/>
              <w:bottom w:w="100" w:type="dxa"/>
              <w:right w:w="110" w:type="dxa"/>
            </w:tcMar>
            <w:vAlign w:val="center"/>
          </w:tcPr>
          <w:p w14:paraId="09A5D1C4"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 xml:space="preserve">Silne poparcie dla poszerzenia i badań nad </w:t>
            </w:r>
            <w:proofErr w:type="spellStart"/>
            <w:r w:rsidRPr="000D08DE">
              <w:rPr>
                <w:rFonts w:ascii="Times New Roman" w:hAnsi="Times New Roman" w:cs="Times New Roman"/>
                <w:color w:val="000000"/>
                <w:sz w:val="16"/>
                <w:lang w:val="pl-PL"/>
              </w:rPr>
              <w:t>herstorią</w:t>
            </w:r>
            <w:proofErr w:type="spellEnd"/>
            <w:r w:rsidRPr="000D08DE">
              <w:rPr>
                <w:rFonts w:ascii="Times New Roman" w:hAnsi="Times New Roman" w:cs="Times New Roman"/>
                <w:color w:val="000000"/>
                <w:sz w:val="16"/>
                <w:lang w:val="pl-PL"/>
              </w:rPr>
              <w:t>, z uwzględnieniem kosztu przebudowy.</w:t>
            </w:r>
          </w:p>
        </w:tc>
        <w:tc>
          <w:tcPr>
            <w:tcW w:w="2765" w:type="dxa"/>
            <w:tcMar>
              <w:top w:w="100" w:type="dxa"/>
              <w:left w:w="110" w:type="dxa"/>
              <w:bottom w:w="100" w:type="dxa"/>
              <w:right w:w="110" w:type="dxa"/>
            </w:tcMar>
            <w:vAlign w:val="center"/>
          </w:tcPr>
          <w:p w14:paraId="396D1183"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Podręczniki, odziedziczony sylabus, czas, wysiłek i nawyk odtwarzania ścieżek mistrzów.</w:t>
            </w:r>
          </w:p>
        </w:tc>
      </w:tr>
      <w:tr w:rsidR="002334FE" w:rsidRPr="000D08DE" w14:paraId="41E60500" w14:textId="77777777">
        <w:trPr>
          <w:cantSplit/>
          <w:jc w:val="center"/>
        </w:trPr>
        <w:tc>
          <w:tcPr>
            <w:tcW w:w="1944" w:type="dxa"/>
            <w:shd w:val="clear" w:color="auto" w:fill="F3F4F6"/>
            <w:tcMar>
              <w:top w:w="100" w:type="dxa"/>
              <w:left w:w="110" w:type="dxa"/>
              <w:bottom w:w="100" w:type="dxa"/>
              <w:right w:w="110" w:type="dxa"/>
            </w:tcMar>
            <w:vAlign w:val="center"/>
          </w:tcPr>
          <w:p w14:paraId="13753479"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P12</w:t>
            </w:r>
            <w:r w:rsidRPr="000D08DE">
              <w:rPr>
                <w:rFonts w:ascii="Times New Roman" w:hAnsi="Times New Roman" w:cs="Times New Roman"/>
                <w:color w:val="000000"/>
                <w:sz w:val="16"/>
                <w:lang w:val="pl-PL"/>
              </w:rPr>
              <w:br/>
              <w:t xml:space="preserve">Tomasz </w:t>
            </w:r>
            <w:proofErr w:type="spellStart"/>
            <w:r w:rsidRPr="000D08DE">
              <w:rPr>
                <w:rFonts w:ascii="Times New Roman" w:hAnsi="Times New Roman" w:cs="Times New Roman"/>
                <w:color w:val="000000"/>
                <w:sz w:val="16"/>
                <w:lang w:val="pl-PL"/>
              </w:rPr>
              <w:t>Tulejski</w:t>
            </w:r>
            <w:proofErr w:type="spellEnd"/>
          </w:p>
        </w:tc>
        <w:tc>
          <w:tcPr>
            <w:tcW w:w="2880" w:type="dxa"/>
            <w:shd w:val="clear" w:color="auto" w:fill="F3F4F6"/>
            <w:tcMar>
              <w:top w:w="100" w:type="dxa"/>
              <w:left w:w="110" w:type="dxa"/>
              <w:bottom w:w="100" w:type="dxa"/>
              <w:right w:w="110" w:type="dxa"/>
            </w:tcMar>
            <w:vAlign w:val="center"/>
          </w:tcPr>
          <w:p w14:paraId="126ABA43"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 xml:space="preserve">Autorki obecne, gdy odpowiadają specjalizacji: </w:t>
            </w:r>
            <w:proofErr w:type="spellStart"/>
            <w:r w:rsidRPr="000D08DE">
              <w:rPr>
                <w:rFonts w:ascii="Times New Roman" w:hAnsi="Times New Roman" w:cs="Times New Roman"/>
                <w:color w:val="000000"/>
                <w:sz w:val="16"/>
                <w:lang w:val="pl-PL"/>
              </w:rPr>
              <w:t>Mercy</w:t>
            </w:r>
            <w:proofErr w:type="spellEnd"/>
            <w:r w:rsidRPr="000D08DE">
              <w:rPr>
                <w:rFonts w:ascii="Times New Roman" w:hAnsi="Times New Roman" w:cs="Times New Roman"/>
                <w:color w:val="000000"/>
                <w:sz w:val="16"/>
                <w:lang w:val="pl-PL"/>
              </w:rPr>
              <w:t xml:space="preserve"> </w:t>
            </w:r>
            <w:proofErr w:type="spellStart"/>
            <w:r w:rsidRPr="000D08DE">
              <w:rPr>
                <w:rFonts w:ascii="Times New Roman" w:hAnsi="Times New Roman" w:cs="Times New Roman"/>
                <w:color w:val="000000"/>
                <w:sz w:val="16"/>
                <w:lang w:val="pl-PL"/>
              </w:rPr>
              <w:t>Otis</w:t>
            </w:r>
            <w:proofErr w:type="spellEnd"/>
            <w:r w:rsidRPr="000D08DE">
              <w:rPr>
                <w:rFonts w:ascii="Times New Roman" w:hAnsi="Times New Roman" w:cs="Times New Roman"/>
                <w:color w:val="000000"/>
                <w:sz w:val="16"/>
                <w:lang w:val="pl-PL"/>
              </w:rPr>
              <w:t xml:space="preserve"> Warren, </w:t>
            </w:r>
            <w:proofErr w:type="spellStart"/>
            <w:r w:rsidRPr="000D08DE">
              <w:rPr>
                <w:rFonts w:ascii="Times New Roman" w:hAnsi="Times New Roman" w:cs="Times New Roman"/>
                <w:color w:val="000000"/>
                <w:sz w:val="16"/>
                <w:lang w:val="pl-PL"/>
              </w:rPr>
              <w:t>Abigail</w:t>
            </w:r>
            <w:proofErr w:type="spellEnd"/>
            <w:r w:rsidRPr="000D08DE">
              <w:rPr>
                <w:rFonts w:ascii="Times New Roman" w:hAnsi="Times New Roman" w:cs="Times New Roman"/>
                <w:color w:val="000000"/>
                <w:sz w:val="16"/>
                <w:lang w:val="pl-PL"/>
              </w:rPr>
              <w:t xml:space="preserve"> Adams i inne.</w:t>
            </w:r>
          </w:p>
        </w:tc>
        <w:tc>
          <w:tcPr>
            <w:tcW w:w="2952" w:type="dxa"/>
            <w:shd w:val="clear" w:color="auto" w:fill="F3F4F6"/>
            <w:tcMar>
              <w:top w:w="100" w:type="dxa"/>
              <w:left w:w="110" w:type="dxa"/>
              <w:bottom w:w="100" w:type="dxa"/>
              <w:right w:w="110" w:type="dxa"/>
            </w:tcMar>
            <w:vAlign w:val="center"/>
          </w:tcPr>
          <w:p w14:paraId="23784793"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Odrzuca płeć jako kategorię analityczną; dobór wyłącznie według jakości i wpływu.</w:t>
            </w:r>
          </w:p>
        </w:tc>
        <w:tc>
          <w:tcPr>
            <w:tcW w:w="2765" w:type="dxa"/>
            <w:shd w:val="clear" w:color="auto" w:fill="F3F4F6"/>
            <w:tcMar>
              <w:top w:w="100" w:type="dxa"/>
              <w:left w:w="110" w:type="dxa"/>
              <w:bottom w:w="100" w:type="dxa"/>
              <w:right w:w="110" w:type="dxa"/>
            </w:tcMar>
            <w:vAlign w:val="center"/>
          </w:tcPr>
          <w:p w14:paraId="585EA4D3" w14:textId="2CAD1ADC"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Nie dostrzega odrębnej bariery</w:t>
            </w:r>
            <w:r w:rsidR="00A6683E" w:rsidRPr="000D08DE">
              <w:rPr>
                <w:rFonts w:ascii="Times New Roman" w:hAnsi="Times New Roman" w:cs="Times New Roman"/>
                <w:color w:val="000000"/>
                <w:sz w:val="16"/>
                <w:lang w:val="pl-PL"/>
              </w:rPr>
              <w:t>.</w:t>
            </w:r>
          </w:p>
        </w:tc>
      </w:tr>
      <w:tr w:rsidR="002334FE" w:rsidRPr="000D08DE" w14:paraId="0433EB03" w14:textId="77777777">
        <w:trPr>
          <w:cantSplit/>
          <w:jc w:val="center"/>
        </w:trPr>
        <w:tc>
          <w:tcPr>
            <w:tcW w:w="1944" w:type="dxa"/>
            <w:tcMar>
              <w:top w:w="100" w:type="dxa"/>
              <w:left w:w="110" w:type="dxa"/>
              <w:bottom w:w="100" w:type="dxa"/>
              <w:right w:w="110" w:type="dxa"/>
            </w:tcMar>
            <w:vAlign w:val="center"/>
          </w:tcPr>
          <w:p w14:paraId="305A9C61"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P13</w:t>
            </w:r>
            <w:r w:rsidRPr="000D08DE">
              <w:rPr>
                <w:rFonts w:ascii="Times New Roman" w:hAnsi="Times New Roman" w:cs="Times New Roman"/>
                <w:color w:val="000000"/>
                <w:sz w:val="16"/>
                <w:lang w:val="pl-PL"/>
              </w:rPr>
              <w:br/>
              <w:t>Tomasz Scheffler</w:t>
            </w:r>
          </w:p>
        </w:tc>
        <w:tc>
          <w:tcPr>
            <w:tcW w:w="2880" w:type="dxa"/>
            <w:tcMar>
              <w:top w:w="100" w:type="dxa"/>
              <w:left w:w="110" w:type="dxa"/>
              <w:bottom w:w="100" w:type="dxa"/>
              <w:right w:w="110" w:type="dxa"/>
            </w:tcMar>
            <w:vAlign w:val="center"/>
          </w:tcPr>
          <w:p w14:paraId="1F2E04BD" w14:textId="77777777" w:rsidR="002334FE" w:rsidRPr="000D08DE" w:rsidRDefault="00440E91">
            <w:pPr>
              <w:spacing w:after="0" w:line="252" w:lineRule="auto"/>
              <w:rPr>
                <w:rFonts w:ascii="Times New Roman" w:hAnsi="Times New Roman" w:cs="Times New Roman"/>
                <w:lang w:val="pl-PL"/>
              </w:rPr>
            </w:pPr>
            <w:proofErr w:type="spellStart"/>
            <w:r w:rsidRPr="000D08DE">
              <w:rPr>
                <w:rFonts w:ascii="Times New Roman" w:hAnsi="Times New Roman" w:cs="Times New Roman"/>
                <w:color w:val="000000"/>
                <w:sz w:val="16"/>
                <w:lang w:val="pl-PL"/>
              </w:rPr>
              <w:t>Wollstonecraft</w:t>
            </w:r>
            <w:proofErr w:type="spellEnd"/>
            <w:r w:rsidRPr="000D08DE">
              <w:rPr>
                <w:rFonts w:ascii="Times New Roman" w:hAnsi="Times New Roman" w:cs="Times New Roman"/>
                <w:color w:val="000000"/>
                <w:sz w:val="16"/>
                <w:lang w:val="pl-PL"/>
              </w:rPr>
              <w:t xml:space="preserve"> przy Godwinie i anarchizmie; </w:t>
            </w:r>
            <w:proofErr w:type="spellStart"/>
            <w:r w:rsidRPr="000D08DE">
              <w:rPr>
                <w:rFonts w:ascii="Times New Roman" w:hAnsi="Times New Roman" w:cs="Times New Roman"/>
                <w:color w:val="000000"/>
                <w:sz w:val="16"/>
                <w:lang w:val="pl-PL"/>
              </w:rPr>
              <w:t>Harriet</w:t>
            </w:r>
            <w:proofErr w:type="spellEnd"/>
            <w:r w:rsidRPr="000D08DE">
              <w:rPr>
                <w:rFonts w:ascii="Times New Roman" w:hAnsi="Times New Roman" w:cs="Times New Roman"/>
                <w:color w:val="000000"/>
                <w:sz w:val="16"/>
                <w:lang w:val="pl-PL"/>
              </w:rPr>
              <w:t xml:space="preserve"> Taylor przy Millu; dawniej osobny kurs feminizmu.</w:t>
            </w:r>
          </w:p>
        </w:tc>
        <w:tc>
          <w:tcPr>
            <w:tcW w:w="2952" w:type="dxa"/>
            <w:tcMar>
              <w:top w:w="100" w:type="dxa"/>
              <w:left w:w="110" w:type="dxa"/>
              <w:bottom w:w="100" w:type="dxa"/>
              <w:right w:w="110" w:type="dxa"/>
            </w:tcMar>
            <w:vAlign w:val="center"/>
          </w:tcPr>
          <w:p w14:paraId="437895C9"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Uznaje przyzwyczajenie, lecz obawia się ideologizacji, aktywizmu i inżynierii społecznej.</w:t>
            </w:r>
          </w:p>
        </w:tc>
        <w:tc>
          <w:tcPr>
            <w:tcW w:w="2765" w:type="dxa"/>
            <w:tcMar>
              <w:top w:w="100" w:type="dxa"/>
              <w:left w:w="110" w:type="dxa"/>
              <w:bottom w:w="100" w:type="dxa"/>
              <w:right w:w="110" w:type="dxa"/>
            </w:tcMar>
            <w:vAlign w:val="center"/>
          </w:tcPr>
          <w:p w14:paraId="041712AB" w14:textId="2089F0B2"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 xml:space="preserve">Nawyk, ograniczony popyt studencki, </w:t>
            </w:r>
            <w:r w:rsidRPr="000D08DE">
              <w:rPr>
                <w:rFonts w:ascii="Times New Roman" w:hAnsi="Times New Roman" w:cs="Times New Roman"/>
                <w:color w:val="000000"/>
                <w:sz w:val="16"/>
                <w:lang w:val="pl-PL"/>
              </w:rPr>
              <w:t>czas.</w:t>
            </w:r>
          </w:p>
        </w:tc>
      </w:tr>
      <w:tr w:rsidR="002334FE" w:rsidRPr="000D08DE" w14:paraId="6E9B3FE6" w14:textId="77777777">
        <w:trPr>
          <w:cantSplit/>
          <w:jc w:val="center"/>
        </w:trPr>
        <w:tc>
          <w:tcPr>
            <w:tcW w:w="1944" w:type="dxa"/>
            <w:shd w:val="clear" w:color="auto" w:fill="F3F4F6"/>
            <w:tcMar>
              <w:top w:w="100" w:type="dxa"/>
              <w:left w:w="110" w:type="dxa"/>
              <w:bottom w:w="100" w:type="dxa"/>
              <w:right w:w="110" w:type="dxa"/>
            </w:tcMar>
            <w:vAlign w:val="center"/>
          </w:tcPr>
          <w:p w14:paraId="56CB911A"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P14</w:t>
            </w:r>
            <w:r w:rsidRPr="000D08DE">
              <w:rPr>
                <w:rFonts w:ascii="Times New Roman" w:hAnsi="Times New Roman" w:cs="Times New Roman"/>
                <w:color w:val="000000"/>
                <w:sz w:val="16"/>
                <w:lang w:val="pl-PL"/>
              </w:rPr>
              <w:br/>
              <w:t>Agata Grudzińska</w:t>
            </w:r>
          </w:p>
        </w:tc>
        <w:tc>
          <w:tcPr>
            <w:tcW w:w="2880" w:type="dxa"/>
            <w:shd w:val="clear" w:color="auto" w:fill="F3F4F6"/>
            <w:tcMar>
              <w:top w:w="100" w:type="dxa"/>
              <w:left w:w="110" w:type="dxa"/>
              <w:bottom w:w="100" w:type="dxa"/>
              <w:right w:w="110" w:type="dxa"/>
            </w:tcMar>
            <w:vAlign w:val="center"/>
          </w:tcPr>
          <w:p w14:paraId="5A8A896E"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 xml:space="preserve">Niemal brak; </w:t>
            </w:r>
            <w:proofErr w:type="spellStart"/>
            <w:r w:rsidRPr="000D08DE">
              <w:rPr>
                <w:rFonts w:ascii="Times New Roman" w:hAnsi="Times New Roman" w:cs="Times New Roman"/>
                <w:color w:val="000000"/>
                <w:sz w:val="16"/>
                <w:lang w:val="pl-PL"/>
              </w:rPr>
              <w:t>Hipparchia</w:t>
            </w:r>
            <w:proofErr w:type="spellEnd"/>
            <w:r w:rsidRPr="000D08DE">
              <w:rPr>
                <w:rFonts w:ascii="Times New Roman" w:hAnsi="Times New Roman" w:cs="Times New Roman"/>
                <w:color w:val="000000"/>
                <w:sz w:val="16"/>
                <w:lang w:val="pl-PL"/>
              </w:rPr>
              <w:t xml:space="preserve"> i </w:t>
            </w:r>
            <w:proofErr w:type="spellStart"/>
            <w:r w:rsidRPr="000D08DE">
              <w:rPr>
                <w:rFonts w:ascii="Times New Roman" w:hAnsi="Times New Roman" w:cs="Times New Roman"/>
                <w:color w:val="000000"/>
                <w:sz w:val="16"/>
                <w:lang w:val="pl-PL"/>
              </w:rPr>
              <w:t>Harriet</w:t>
            </w:r>
            <w:proofErr w:type="spellEnd"/>
            <w:r w:rsidRPr="000D08DE">
              <w:rPr>
                <w:rFonts w:ascii="Times New Roman" w:hAnsi="Times New Roman" w:cs="Times New Roman"/>
                <w:color w:val="000000"/>
                <w:sz w:val="16"/>
                <w:lang w:val="pl-PL"/>
              </w:rPr>
              <w:t xml:space="preserve"> Taylor Mill jedynie wzmiankowane.</w:t>
            </w:r>
          </w:p>
        </w:tc>
        <w:tc>
          <w:tcPr>
            <w:tcW w:w="2952" w:type="dxa"/>
            <w:shd w:val="clear" w:color="auto" w:fill="F3F4F6"/>
            <w:tcMar>
              <w:top w:w="100" w:type="dxa"/>
              <w:left w:w="110" w:type="dxa"/>
              <w:bottom w:w="100" w:type="dxa"/>
              <w:right w:w="110" w:type="dxa"/>
            </w:tcMar>
            <w:vAlign w:val="center"/>
          </w:tcPr>
          <w:p w14:paraId="0FC72BE3" w14:textId="617DA844"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Popiera niewielką zmianę</w:t>
            </w:r>
            <w:r w:rsidR="00A6683E" w:rsidRPr="000D08DE">
              <w:rPr>
                <w:rFonts w:ascii="Times New Roman" w:hAnsi="Times New Roman" w:cs="Times New Roman"/>
                <w:color w:val="000000"/>
                <w:sz w:val="16"/>
                <w:lang w:val="pl-PL"/>
              </w:rPr>
              <w:t>.</w:t>
            </w:r>
          </w:p>
        </w:tc>
        <w:tc>
          <w:tcPr>
            <w:tcW w:w="2765" w:type="dxa"/>
            <w:shd w:val="clear" w:color="auto" w:fill="F3F4F6"/>
            <w:tcMar>
              <w:top w:w="100" w:type="dxa"/>
              <w:left w:w="110" w:type="dxa"/>
              <w:bottom w:w="100" w:type="dxa"/>
              <w:right w:w="110" w:type="dxa"/>
            </w:tcMar>
            <w:vAlign w:val="center"/>
          </w:tcPr>
          <w:p w14:paraId="66EB5EA8"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 xml:space="preserve">Czas, egzamin, podręcznik, przygotowanie i ewentualne procedury </w:t>
            </w:r>
            <w:proofErr w:type="spellStart"/>
            <w:r w:rsidRPr="000D08DE">
              <w:rPr>
                <w:rFonts w:ascii="Times New Roman" w:hAnsi="Times New Roman" w:cs="Times New Roman"/>
                <w:color w:val="000000"/>
                <w:sz w:val="16"/>
                <w:lang w:val="pl-PL"/>
              </w:rPr>
              <w:t>sylabusowe</w:t>
            </w:r>
            <w:proofErr w:type="spellEnd"/>
            <w:r w:rsidRPr="000D08DE">
              <w:rPr>
                <w:rFonts w:ascii="Times New Roman" w:hAnsi="Times New Roman" w:cs="Times New Roman"/>
                <w:color w:val="000000"/>
                <w:sz w:val="16"/>
                <w:lang w:val="pl-PL"/>
              </w:rPr>
              <w:t>.</w:t>
            </w:r>
          </w:p>
        </w:tc>
      </w:tr>
      <w:tr w:rsidR="002334FE" w:rsidRPr="000D08DE" w14:paraId="2C00A5C4" w14:textId="77777777">
        <w:trPr>
          <w:cantSplit/>
          <w:jc w:val="center"/>
        </w:trPr>
        <w:tc>
          <w:tcPr>
            <w:tcW w:w="1944" w:type="dxa"/>
            <w:tcMar>
              <w:top w:w="100" w:type="dxa"/>
              <w:left w:w="110" w:type="dxa"/>
              <w:bottom w:w="100" w:type="dxa"/>
              <w:right w:w="110" w:type="dxa"/>
            </w:tcMar>
            <w:vAlign w:val="center"/>
          </w:tcPr>
          <w:p w14:paraId="54EF57D5"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P15</w:t>
            </w:r>
            <w:r w:rsidRPr="000D08DE">
              <w:rPr>
                <w:rFonts w:ascii="Times New Roman" w:hAnsi="Times New Roman" w:cs="Times New Roman"/>
                <w:color w:val="000000"/>
                <w:sz w:val="16"/>
                <w:lang w:val="pl-PL"/>
              </w:rPr>
              <w:br/>
              <w:t>Krystyna Chojnicka</w:t>
            </w:r>
          </w:p>
        </w:tc>
        <w:tc>
          <w:tcPr>
            <w:tcW w:w="2880" w:type="dxa"/>
            <w:tcMar>
              <w:top w:w="100" w:type="dxa"/>
              <w:left w:w="110" w:type="dxa"/>
              <w:bottom w:w="100" w:type="dxa"/>
              <w:right w:w="110" w:type="dxa"/>
            </w:tcMar>
            <w:vAlign w:val="center"/>
          </w:tcPr>
          <w:p w14:paraId="7D097B30"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 xml:space="preserve">Z notatki wynika omawianie praw kobiet u Milla oraz podkreślanie autorstwa </w:t>
            </w:r>
            <w:proofErr w:type="spellStart"/>
            <w:r w:rsidRPr="000D08DE">
              <w:rPr>
                <w:rFonts w:ascii="Times New Roman" w:hAnsi="Times New Roman" w:cs="Times New Roman"/>
                <w:color w:val="000000"/>
                <w:sz w:val="16"/>
                <w:lang w:val="pl-PL"/>
              </w:rPr>
              <w:t>Harriet</w:t>
            </w:r>
            <w:proofErr w:type="spellEnd"/>
            <w:r w:rsidRPr="000D08DE">
              <w:rPr>
                <w:rFonts w:ascii="Times New Roman" w:hAnsi="Times New Roman" w:cs="Times New Roman"/>
                <w:color w:val="000000"/>
                <w:sz w:val="16"/>
                <w:lang w:val="pl-PL"/>
              </w:rPr>
              <w:t xml:space="preserve"> Taylor Mill; brak danych o pozostałych autorkach.</w:t>
            </w:r>
          </w:p>
        </w:tc>
        <w:tc>
          <w:tcPr>
            <w:tcW w:w="2952" w:type="dxa"/>
            <w:tcMar>
              <w:top w:w="100" w:type="dxa"/>
              <w:left w:w="110" w:type="dxa"/>
              <w:bottom w:w="100" w:type="dxa"/>
              <w:right w:w="110" w:type="dxa"/>
            </w:tcMar>
            <w:vAlign w:val="center"/>
          </w:tcPr>
          <w:p w14:paraId="6FC7E775" w14:textId="216A247A"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Uznaje niedostateczne zróżnicowanie kanonu i częściową potrzebę zmiany</w:t>
            </w:r>
            <w:r w:rsidR="00A6683E" w:rsidRPr="000D08DE">
              <w:rPr>
                <w:rFonts w:ascii="Times New Roman" w:hAnsi="Times New Roman" w:cs="Times New Roman"/>
                <w:color w:val="000000"/>
                <w:sz w:val="16"/>
                <w:lang w:val="pl-PL"/>
              </w:rPr>
              <w:t xml:space="preserve">, określiła </w:t>
            </w:r>
            <w:proofErr w:type="spellStart"/>
            <w:r w:rsidR="00A6683E" w:rsidRPr="000D08DE">
              <w:rPr>
                <w:rFonts w:ascii="Times New Roman" w:hAnsi="Times New Roman" w:cs="Times New Roman"/>
                <w:color w:val="000000"/>
                <w:sz w:val="16"/>
                <w:lang w:val="pl-PL"/>
              </w:rPr>
              <w:t>project</w:t>
            </w:r>
            <w:proofErr w:type="spellEnd"/>
            <w:r w:rsidR="00A6683E" w:rsidRPr="000D08DE">
              <w:rPr>
                <w:rFonts w:ascii="Times New Roman" w:hAnsi="Times New Roman" w:cs="Times New Roman"/>
                <w:color w:val="000000"/>
                <w:sz w:val="16"/>
                <w:lang w:val="pl-PL"/>
              </w:rPr>
              <w:t xml:space="preserve"> inspirującym.</w:t>
            </w:r>
          </w:p>
        </w:tc>
        <w:tc>
          <w:tcPr>
            <w:tcW w:w="2765" w:type="dxa"/>
            <w:tcMar>
              <w:top w:w="100" w:type="dxa"/>
              <w:left w:w="110" w:type="dxa"/>
              <w:bottom w:w="100" w:type="dxa"/>
              <w:right w:w="110" w:type="dxa"/>
            </w:tcMar>
            <w:vAlign w:val="center"/>
          </w:tcPr>
          <w:p w14:paraId="6307597B" w14:textId="203C244F"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Historycznie mniejsza liczba autorek i słabsza widoczność ich dorobku</w:t>
            </w:r>
            <w:r w:rsidR="00A6683E" w:rsidRPr="000D08DE">
              <w:rPr>
                <w:rFonts w:ascii="Times New Roman" w:hAnsi="Times New Roman" w:cs="Times New Roman"/>
                <w:color w:val="000000"/>
                <w:sz w:val="16"/>
                <w:lang w:val="pl-PL"/>
              </w:rPr>
              <w:t xml:space="preserve">, przestarzałe podręczniki. </w:t>
            </w:r>
          </w:p>
        </w:tc>
      </w:tr>
    </w:tbl>
    <w:p w14:paraId="5DD7A90E" w14:textId="689076E1" w:rsidR="002334FE" w:rsidRPr="000D08DE" w:rsidRDefault="00440E91" w:rsidP="003D2994">
      <w:pPr>
        <w:pStyle w:val="Nagwek1"/>
        <w:numPr>
          <w:ilvl w:val="0"/>
          <w:numId w:val="10"/>
        </w:numPr>
        <w:rPr>
          <w:rFonts w:ascii="Times New Roman" w:hAnsi="Times New Roman" w:cs="Times New Roman"/>
          <w:lang w:val="pl-PL"/>
        </w:rPr>
      </w:pPr>
      <w:r w:rsidRPr="000D08DE">
        <w:rPr>
          <w:rFonts w:ascii="Times New Roman" w:hAnsi="Times New Roman" w:cs="Times New Roman"/>
          <w:lang w:val="pl-PL"/>
        </w:rPr>
        <w:t xml:space="preserve">Zastosowanie kodów </w:t>
      </w:r>
    </w:p>
    <w:p w14:paraId="357D7586" w14:textId="78B20823" w:rsidR="002334FE" w:rsidRPr="000D08DE" w:rsidRDefault="00440E91">
      <w:pPr>
        <w:rPr>
          <w:rFonts w:ascii="Times New Roman" w:hAnsi="Times New Roman" w:cs="Times New Roman"/>
          <w:lang w:val="pl-PL"/>
        </w:rPr>
      </w:pPr>
      <w:r w:rsidRPr="000D08DE">
        <w:rPr>
          <w:rFonts w:ascii="Times New Roman" w:hAnsi="Times New Roman" w:cs="Times New Roman"/>
          <w:lang w:val="pl-PL"/>
        </w:rPr>
        <w:t xml:space="preserve">Poniższa matryca rejestruje wystąpienie wyraźnego fragmentu odpowiadającego definicji kodu w wypowiedzi danego rozmówcy. Brak kodu nie oznacza stanowiska przeciwnego; oznacza jedynie, że w transkrypcji lub notatce nie zidentyfikowano dostatecznie jednoznacznego fragmentu. Jest to matryca obecności kodów, a nie skala natężenia. </w:t>
      </w:r>
    </w:p>
    <w:p w14:paraId="1092DE51" w14:textId="77777777" w:rsidR="00333E2F" w:rsidRPr="000D08DE" w:rsidRDefault="00333E2F">
      <w:pPr>
        <w:rPr>
          <w:rFonts w:ascii="Times New Roman" w:hAnsi="Times New Roman" w:cs="Times New Roman"/>
          <w:lang w:val="pl-PL"/>
        </w:rPr>
      </w:pPr>
    </w:p>
    <w:tbl>
      <w:tblPr>
        <w:tblW w:w="0" w:type="auto"/>
        <w:jc w:val="center"/>
        <w:tblLayout w:type="fixed"/>
        <w:tblLook w:val="04A0" w:firstRow="1" w:lastRow="0" w:firstColumn="1" w:lastColumn="0" w:noHBand="0" w:noVBand="1"/>
      </w:tblPr>
      <w:tblGrid>
        <w:gridCol w:w="2088"/>
        <w:gridCol w:w="2232"/>
        <w:gridCol w:w="2016"/>
        <w:gridCol w:w="4176"/>
      </w:tblGrid>
      <w:tr w:rsidR="002334FE" w:rsidRPr="000D08DE" w14:paraId="14D7A376" w14:textId="77777777">
        <w:trPr>
          <w:cantSplit/>
          <w:tblHeader/>
          <w:jc w:val="center"/>
        </w:trPr>
        <w:tc>
          <w:tcPr>
            <w:tcW w:w="2088" w:type="dxa"/>
            <w:shd w:val="clear" w:color="auto" w:fill="374151"/>
            <w:tcMar>
              <w:top w:w="100" w:type="dxa"/>
              <w:left w:w="110" w:type="dxa"/>
              <w:bottom w:w="100" w:type="dxa"/>
              <w:right w:w="110" w:type="dxa"/>
            </w:tcMar>
            <w:vAlign w:val="center"/>
          </w:tcPr>
          <w:p w14:paraId="29125DB0"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b/>
                <w:color w:val="FFFFFF"/>
                <w:sz w:val="16"/>
                <w:lang w:val="pl-PL"/>
              </w:rPr>
              <w:t>Rozmówca</w:t>
            </w:r>
          </w:p>
        </w:tc>
        <w:tc>
          <w:tcPr>
            <w:tcW w:w="2232" w:type="dxa"/>
            <w:shd w:val="clear" w:color="auto" w:fill="374151"/>
            <w:tcMar>
              <w:top w:w="100" w:type="dxa"/>
              <w:left w:w="110" w:type="dxa"/>
              <w:bottom w:w="100" w:type="dxa"/>
              <w:right w:w="110" w:type="dxa"/>
            </w:tcMar>
            <w:vAlign w:val="center"/>
          </w:tcPr>
          <w:p w14:paraId="40A0F1C5"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b/>
                <w:color w:val="FFFFFF"/>
                <w:sz w:val="16"/>
                <w:lang w:val="pl-PL"/>
              </w:rPr>
              <w:t>Konstrukcja przedmiotu</w:t>
            </w:r>
          </w:p>
        </w:tc>
        <w:tc>
          <w:tcPr>
            <w:tcW w:w="2016" w:type="dxa"/>
            <w:shd w:val="clear" w:color="auto" w:fill="374151"/>
            <w:tcMar>
              <w:top w:w="100" w:type="dxa"/>
              <w:left w:w="110" w:type="dxa"/>
              <w:bottom w:w="100" w:type="dxa"/>
              <w:right w:w="110" w:type="dxa"/>
            </w:tcMar>
            <w:vAlign w:val="center"/>
          </w:tcPr>
          <w:p w14:paraId="7967DB52"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b/>
                <w:color w:val="FFFFFF"/>
                <w:sz w:val="16"/>
                <w:lang w:val="pl-PL"/>
              </w:rPr>
              <w:t>Obecność kobiet</w:t>
            </w:r>
          </w:p>
        </w:tc>
        <w:tc>
          <w:tcPr>
            <w:tcW w:w="4176" w:type="dxa"/>
            <w:shd w:val="clear" w:color="auto" w:fill="374151"/>
            <w:tcMar>
              <w:top w:w="100" w:type="dxa"/>
              <w:left w:w="110" w:type="dxa"/>
              <w:bottom w:w="100" w:type="dxa"/>
              <w:right w:w="110" w:type="dxa"/>
            </w:tcMar>
            <w:vAlign w:val="center"/>
          </w:tcPr>
          <w:p w14:paraId="2055C0F1"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b/>
                <w:color w:val="FFFFFF"/>
                <w:sz w:val="16"/>
                <w:lang w:val="pl-PL"/>
              </w:rPr>
              <w:t>Bariery materiały i zmiana</w:t>
            </w:r>
          </w:p>
        </w:tc>
      </w:tr>
      <w:tr w:rsidR="002334FE" w:rsidRPr="000D08DE" w14:paraId="6374A778" w14:textId="77777777">
        <w:trPr>
          <w:cantSplit/>
          <w:jc w:val="center"/>
        </w:trPr>
        <w:tc>
          <w:tcPr>
            <w:tcW w:w="2088" w:type="dxa"/>
            <w:tcMar>
              <w:top w:w="100" w:type="dxa"/>
              <w:left w:w="110" w:type="dxa"/>
              <w:bottom w:w="100" w:type="dxa"/>
              <w:right w:w="110" w:type="dxa"/>
            </w:tcMar>
            <w:vAlign w:val="center"/>
          </w:tcPr>
          <w:p w14:paraId="2FA6AB67"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P01</w:t>
            </w:r>
            <w:r w:rsidRPr="000D08DE">
              <w:rPr>
                <w:rFonts w:ascii="Times New Roman" w:hAnsi="Times New Roman" w:cs="Times New Roman"/>
                <w:color w:val="000000"/>
                <w:sz w:val="16"/>
                <w:lang w:val="pl-PL"/>
              </w:rPr>
              <w:br/>
              <w:t>Anna Ceglarska</w:t>
            </w:r>
          </w:p>
        </w:tc>
        <w:tc>
          <w:tcPr>
            <w:tcW w:w="2232" w:type="dxa"/>
            <w:tcMar>
              <w:top w:w="100" w:type="dxa"/>
              <w:left w:w="110" w:type="dxa"/>
              <w:bottom w:w="100" w:type="dxa"/>
              <w:right w:w="110" w:type="dxa"/>
            </w:tcMar>
            <w:vAlign w:val="center"/>
          </w:tcPr>
          <w:p w14:paraId="280A577A"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A1, A2, A3, A4, A5</w:t>
            </w:r>
          </w:p>
        </w:tc>
        <w:tc>
          <w:tcPr>
            <w:tcW w:w="2016" w:type="dxa"/>
            <w:tcMar>
              <w:top w:w="100" w:type="dxa"/>
              <w:left w:w="110" w:type="dxa"/>
              <w:bottom w:w="100" w:type="dxa"/>
              <w:right w:w="110" w:type="dxa"/>
            </w:tcMar>
            <w:vAlign w:val="center"/>
          </w:tcPr>
          <w:p w14:paraId="2FCA9A9E"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B1, B2, B5</w:t>
            </w:r>
          </w:p>
        </w:tc>
        <w:tc>
          <w:tcPr>
            <w:tcW w:w="4176" w:type="dxa"/>
            <w:tcMar>
              <w:top w:w="100" w:type="dxa"/>
              <w:left w:w="110" w:type="dxa"/>
              <w:bottom w:w="100" w:type="dxa"/>
              <w:right w:w="110" w:type="dxa"/>
            </w:tcMar>
            <w:vAlign w:val="center"/>
          </w:tcPr>
          <w:p w14:paraId="0A9A7B30"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C1, C4, D1, D2, E1, E2, E5</w:t>
            </w:r>
          </w:p>
        </w:tc>
      </w:tr>
      <w:tr w:rsidR="002334FE" w:rsidRPr="000D08DE" w14:paraId="5036F338" w14:textId="77777777">
        <w:trPr>
          <w:cantSplit/>
          <w:jc w:val="center"/>
        </w:trPr>
        <w:tc>
          <w:tcPr>
            <w:tcW w:w="2088" w:type="dxa"/>
            <w:shd w:val="clear" w:color="auto" w:fill="F3F4F6"/>
            <w:tcMar>
              <w:top w:w="100" w:type="dxa"/>
              <w:left w:w="110" w:type="dxa"/>
              <w:bottom w:w="100" w:type="dxa"/>
              <w:right w:w="110" w:type="dxa"/>
            </w:tcMar>
            <w:vAlign w:val="center"/>
          </w:tcPr>
          <w:p w14:paraId="0D4987EE"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lastRenderedPageBreak/>
              <w:t>P02</w:t>
            </w:r>
            <w:r w:rsidRPr="000D08DE">
              <w:rPr>
                <w:rFonts w:ascii="Times New Roman" w:hAnsi="Times New Roman" w:cs="Times New Roman"/>
                <w:color w:val="000000"/>
                <w:sz w:val="16"/>
                <w:lang w:val="pl-PL"/>
              </w:rPr>
              <w:br/>
              <w:t>Jacek Malczewski</w:t>
            </w:r>
          </w:p>
        </w:tc>
        <w:tc>
          <w:tcPr>
            <w:tcW w:w="2232" w:type="dxa"/>
            <w:shd w:val="clear" w:color="auto" w:fill="F3F4F6"/>
            <w:tcMar>
              <w:top w:w="100" w:type="dxa"/>
              <w:left w:w="110" w:type="dxa"/>
              <w:bottom w:w="100" w:type="dxa"/>
              <w:right w:w="110" w:type="dxa"/>
            </w:tcMar>
            <w:vAlign w:val="center"/>
          </w:tcPr>
          <w:p w14:paraId="58F06710"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A1, A2, A3, A4, A5</w:t>
            </w:r>
          </w:p>
        </w:tc>
        <w:tc>
          <w:tcPr>
            <w:tcW w:w="2016" w:type="dxa"/>
            <w:shd w:val="clear" w:color="auto" w:fill="F3F4F6"/>
            <w:tcMar>
              <w:top w:w="100" w:type="dxa"/>
              <w:left w:w="110" w:type="dxa"/>
              <w:bottom w:w="100" w:type="dxa"/>
              <w:right w:w="110" w:type="dxa"/>
            </w:tcMar>
            <w:vAlign w:val="center"/>
          </w:tcPr>
          <w:p w14:paraId="19AEB418"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B1, B2, B3</w:t>
            </w:r>
          </w:p>
        </w:tc>
        <w:tc>
          <w:tcPr>
            <w:tcW w:w="4176" w:type="dxa"/>
            <w:shd w:val="clear" w:color="auto" w:fill="F3F4F6"/>
            <w:tcMar>
              <w:top w:w="100" w:type="dxa"/>
              <w:left w:w="110" w:type="dxa"/>
              <w:bottom w:w="100" w:type="dxa"/>
              <w:right w:w="110" w:type="dxa"/>
            </w:tcMar>
            <w:vAlign w:val="center"/>
          </w:tcPr>
          <w:p w14:paraId="5E3FCA0B"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C1, C4, D1, D2, E1, E2, E4, E5</w:t>
            </w:r>
          </w:p>
        </w:tc>
      </w:tr>
      <w:tr w:rsidR="002334FE" w:rsidRPr="000D08DE" w14:paraId="6024D27D" w14:textId="77777777">
        <w:trPr>
          <w:cantSplit/>
          <w:jc w:val="center"/>
        </w:trPr>
        <w:tc>
          <w:tcPr>
            <w:tcW w:w="2088" w:type="dxa"/>
            <w:tcMar>
              <w:top w:w="100" w:type="dxa"/>
              <w:left w:w="110" w:type="dxa"/>
              <w:bottom w:w="100" w:type="dxa"/>
              <w:right w:w="110" w:type="dxa"/>
            </w:tcMar>
            <w:vAlign w:val="center"/>
          </w:tcPr>
          <w:p w14:paraId="671D8269"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P03</w:t>
            </w:r>
            <w:r w:rsidRPr="000D08DE">
              <w:rPr>
                <w:rFonts w:ascii="Times New Roman" w:hAnsi="Times New Roman" w:cs="Times New Roman"/>
                <w:color w:val="000000"/>
                <w:sz w:val="16"/>
                <w:lang w:val="pl-PL"/>
              </w:rPr>
              <w:br/>
              <w:t>Bartosz Chrząszcz</w:t>
            </w:r>
          </w:p>
        </w:tc>
        <w:tc>
          <w:tcPr>
            <w:tcW w:w="2232" w:type="dxa"/>
            <w:tcMar>
              <w:top w:w="100" w:type="dxa"/>
              <w:left w:w="110" w:type="dxa"/>
              <w:bottom w:w="100" w:type="dxa"/>
              <w:right w:w="110" w:type="dxa"/>
            </w:tcMar>
            <w:vAlign w:val="center"/>
          </w:tcPr>
          <w:p w14:paraId="7220D287"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A1, A2, A3, A4, A5</w:t>
            </w:r>
          </w:p>
        </w:tc>
        <w:tc>
          <w:tcPr>
            <w:tcW w:w="2016" w:type="dxa"/>
            <w:tcMar>
              <w:top w:w="100" w:type="dxa"/>
              <w:left w:w="110" w:type="dxa"/>
              <w:bottom w:w="100" w:type="dxa"/>
              <w:right w:w="110" w:type="dxa"/>
            </w:tcMar>
            <w:vAlign w:val="center"/>
          </w:tcPr>
          <w:p w14:paraId="703983D2"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B1, B3, B4</w:t>
            </w:r>
          </w:p>
        </w:tc>
        <w:tc>
          <w:tcPr>
            <w:tcW w:w="4176" w:type="dxa"/>
            <w:tcMar>
              <w:top w:w="100" w:type="dxa"/>
              <w:left w:w="110" w:type="dxa"/>
              <w:bottom w:w="100" w:type="dxa"/>
              <w:right w:w="110" w:type="dxa"/>
            </w:tcMar>
            <w:vAlign w:val="center"/>
          </w:tcPr>
          <w:p w14:paraId="6982F603"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C1, C2, D1, E1, E2, E3, E4, E5</w:t>
            </w:r>
          </w:p>
        </w:tc>
      </w:tr>
      <w:tr w:rsidR="002334FE" w:rsidRPr="000D08DE" w14:paraId="29C963D5" w14:textId="77777777">
        <w:trPr>
          <w:cantSplit/>
          <w:jc w:val="center"/>
        </w:trPr>
        <w:tc>
          <w:tcPr>
            <w:tcW w:w="2088" w:type="dxa"/>
            <w:shd w:val="clear" w:color="auto" w:fill="F3F4F6"/>
            <w:tcMar>
              <w:top w:w="100" w:type="dxa"/>
              <w:left w:w="110" w:type="dxa"/>
              <w:bottom w:w="100" w:type="dxa"/>
              <w:right w:w="110" w:type="dxa"/>
            </w:tcMar>
            <w:vAlign w:val="center"/>
          </w:tcPr>
          <w:p w14:paraId="7FABF9D8"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P04</w:t>
            </w:r>
            <w:r w:rsidRPr="000D08DE">
              <w:rPr>
                <w:rFonts w:ascii="Times New Roman" w:hAnsi="Times New Roman" w:cs="Times New Roman"/>
                <w:color w:val="000000"/>
                <w:sz w:val="16"/>
                <w:lang w:val="pl-PL"/>
              </w:rPr>
              <w:br/>
              <w:t xml:space="preserve">Karol </w:t>
            </w:r>
            <w:proofErr w:type="spellStart"/>
            <w:r w:rsidRPr="000D08DE">
              <w:rPr>
                <w:rFonts w:ascii="Times New Roman" w:hAnsi="Times New Roman" w:cs="Times New Roman"/>
                <w:color w:val="000000"/>
                <w:sz w:val="16"/>
                <w:lang w:val="pl-PL"/>
              </w:rPr>
              <w:t>Kuźmicz</w:t>
            </w:r>
            <w:proofErr w:type="spellEnd"/>
          </w:p>
        </w:tc>
        <w:tc>
          <w:tcPr>
            <w:tcW w:w="2232" w:type="dxa"/>
            <w:shd w:val="clear" w:color="auto" w:fill="F3F4F6"/>
            <w:tcMar>
              <w:top w:w="100" w:type="dxa"/>
              <w:left w:w="110" w:type="dxa"/>
              <w:bottom w:w="100" w:type="dxa"/>
              <w:right w:w="110" w:type="dxa"/>
            </w:tcMar>
            <w:vAlign w:val="center"/>
          </w:tcPr>
          <w:p w14:paraId="039CDE04"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A1, A2, A3, A4, A5, A6</w:t>
            </w:r>
          </w:p>
        </w:tc>
        <w:tc>
          <w:tcPr>
            <w:tcW w:w="2016" w:type="dxa"/>
            <w:shd w:val="clear" w:color="auto" w:fill="F3F4F6"/>
            <w:tcMar>
              <w:top w:w="100" w:type="dxa"/>
              <w:left w:w="110" w:type="dxa"/>
              <w:bottom w:w="100" w:type="dxa"/>
              <w:right w:w="110" w:type="dxa"/>
            </w:tcMar>
            <w:vAlign w:val="center"/>
          </w:tcPr>
          <w:p w14:paraId="33FDED63"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B1, B3</w:t>
            </w:r>
          </w:p>
        </w:tc>
        <w:tc>
          <w:tcPr>
            <w:tcW w:w="4176" w:type="dxa"/>
            <w:shd w:val="clear" w:color="auto" w:fill="F3F4F6"/>
            <w:tcMar>
              <w:top w:w="100" w:type="dxa"/>
              <w:left w:w="110" w:type="dxa"/>
              <w:bottom w:w="100" w:type="dxa"/>
              <w:right w:w="110" w:type="dxa"/>
            </w:tcMar>
            <w:vAlign w:val="center"/>
          </w:tcPr>
          <w:p w14:paraId="2F88AFB4"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C1, C2, C4, D1, D2, E1, E5</w:t>
            </w:r>
          </w:p>
        </w:tc>
      </w:tr>
      <w:tr w:rsidR="002334FE" w:rsidRPr="000D08DE" w14:paraId="5E34909E" w14:textId="77777777">
        <w:trPr>
          <w:cantSplit/>
          <w:jc w:val="center"/>
        </w:trPr>
        <w:tc>
          <w:tcPr>
            <w:tcW w:w="2088" w:type="dxa"/>
            <w:tcMar>
              <w:top w:w="100" w:type="dxa"/>
              <w:left w:w="110" w:type="dxa"/>
              <w:bottom w:w="100" w:type="dxa"/>
              <w:right w:w="110" w:type="dxa"/>
            </w:tcMar>
            <w:vAlign w:val="center"/>
          </w:tcPr>
          <w:p w14:paraId="2E07BB3F"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P05</w:t>
            </w:r>
            <w:r w:rsidRPr="000D08DE">
              <w:rPr>
                <w:rFonts w:ascii="Times New Roman" w:hAnsi="Times New Roman" w:cs="Times New Roman"/>
                <w:color w:val="000000"/>
                <w:sz w:val="16"/>
                <w:lang w:val="pl-PL"/>
              </w:rPr>
              <w:br/>
              <w:t>Marta Maj</w:t>
            </w:r>
          </w:p>
        </w:tc>
        <w:tc>
          <w:tcPr>
            <w:tcW w:w="2232" w:type="dxa"/>
            <w:tcMar>
              <w:top w:w="100" w:type="dxa"/>
              <w:left w:w="110" w:type="dxa"/>
              <w:bottom w:w="100" w:type="dxa"/>
              <w:right w:w="110" w:type="dxa"/>
            </w:tcMar>
            <w:vAlign w:val="center"/>
          </w:tcPr>
          <w:p w14:paraId="79A723B2"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A1, A2, A3, A4, A5</w:t>
            </w:r>
          </w:p>
        </w:tc>
        <w:tc>
          <w:tcPr>
            <w:tcW w:w="2016" w:type="dxa"/>
            <w:tcMar>
              <w:top w:w="100" w:type="dxa"/>
              <w:left w:w="110" w:type="dxa"/>
              <w:bottom w:w="100" w:type="dxa"/>
              <w:right w:w="110" w:type="dxa"/>
            </w:tcMar>
            <w:vAlign w:val="center"/>
          </w:tcPr>
          <w:p w14:paraId="1C114C44"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B1, B5</w:t>
            </w:r>
          </w:p>
        </w:tc>
        <w:tc>
          <w:tcPr>
            <w:tcW w:w="4176" w:type="dxa"/>
            <w:tcMar>
              <w:top w:w="100" w:type="dxa"/>
              <w:left w:w="110" w:type="dxa"/>
              <w:bottom w:w="100" w:type="dxa"/>
              <w:right w:w="110" w:type="dxa"/>
            </w:tcMar>
            <w:vAlign w:val="center"/>
          </w:tcPr>
          <w:p w14:paraId="5EA7960E"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C1, C2, C4, D1, D2, E1, E3, E4, E5</w:t>
            </w:r>
          </w:p>
        </w:tc>
      </w:tr>
      <w:tr w:rsidR="002334FE" w:rsidRPr="000D08DE" w14:paraId="25E519D7" w14:textId="77777777">
        <w:trPr>
          <w:cantSplit/>
          <w:jc w:val="center"/>
        </w:trPr>
        <w:tc>
          <w:tcPr>
            <w:tcW w:w="2088" w:type="dxa"/>
            <w:shd w:val="clear" w:color="auto" w:fill="F3F4F6"/>
            <w:tcMar>
              <w:top w:w="100" w:type="dxa"/>
              <w:left w:w="110" w:type="dxa"/>
              <w:bottom w:w="100" w:type="dxa"/>
              <w:right w:w="110" w:type="dxa"/>
            </w:tcMar>
            <w:vAlign w:val="center"/>
          </w:tcPr>
          <w:p w14:paraId="219CEF11"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P06</w:t>
            </w:r>
            <w:r w:rsidRPr="000D08DE">
              <w:rPr>
                <w:rFonts w:ascii="Times New Roman" w:hAnsi="Times New Roman" w:cs="Times New Roman"/>
                <w:color w:val="000000"/>
                <w:sz w:val="16"/>
                <w:lang w:val="pl-PL"/>
              </w:rPr>
              <w:br/>
              <w:t>Olgierd Górecki</w:t>
            </w:r>
          </w:p>
        </w:tc>
        <w:tc>
          <w:tcPr>
            <w:tcW w:w="2232" w:type="dxa"/>
            <w:shd w:val="clear" w:color="auto" w:fill="F3F4F6"/>
            <w:tcMar>
              <w:top w:w="100" w:type="dxa"/>
              <w:left w:w="110" w:type="dxa"/>
              <w:bottom w:w="100" w:type="dxa"/>
              <w:right w:w="110" w:type="dxa"/>
            </w:tcMar>
            <w:vAlign w:val="center"/>
          </w:tcPr>
          <w:p w14:paraId="1C8C27B5"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A1, A2, A4, A5, A6</w:t>
            </w:r>
          </w:p>
        </w:tc>
        <w:tc>
          <w:tcPr>
            <w:tcW w:w="2016" w:type="dxa"/>
            <w:shd w:val="clear" w:color="auto" w:fill="F3F4F6"/>
            <w:tcMar>
              <w:top w:w="100" w:type="dxa"/>
              <w:left w:w="110" w:type="dxa"/>
              <w:bottom w:w="100" w:type="dxa"/>
              <w:right w:w="110" w:type="dxa"/>
            </w:tcMar>
            <w:vAlign w:val="center"/>
          </w:tcPr>
          <w:p w14:paraId="47DC1E00"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B1, B3, B4, B5</w:t>
            </w:r>
          </w:p>
        </w:tc>
        <w:tc>
          <w:tcPr>
            <w:tcW w:w="4176" w:type="dxa"/>
            <w:shd w:val="clear" w:color="auto" w:fill="F3F4F6"/>
            <w:tcMar>
              <w:top w:w="100" w:type="dxa"/>
              <w:left w:w="110" w:type="dxa"/>
              <w:bottom w:w="100" w:type="dxa"/>
              <w:right w:w="110" w:type="dxa"/>
            </w:tcMar>
            <w:vAlign w:val="center"/>
          </w:tcPr>
          <w:p w14:paraId="6277B845"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C2, D1, D2, E1, E2, E4</w:t>
            </w:r>
          </w:p>
        </w:tc>
      </w:tr>
      <w:tr w:rsidR="002334FE" w:rsidRPr="000D08DE" w14:paraId="04E6A4A5" w14:textId="77777777">
        <w:trPr>
          <w:cantSplit/>
          <w:jc w:val="center"/>
        </w:trPr>
        <w:tc>
          <w:tcPr>
            <w:tcW w:w="2088" w:type="dxa"/>
            <w:tcMar>
              <w:top w:w="100" w:type="dxa"/>
              <w:left w:w="110" w:type="dxa"/>
              <w:bottom w:w="100" w:type="dxa"/>
              <w:right w:w="110" w:type="dxa"/>
            </w:tcMar>
            <w:vAlign w:val="center"/>
          </w:tcPr>
          <w:p w14:paraId="611D20B9"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P07</w:t>
            </w:r>
            <w:r w:rsidRPr="000D08DE">
              <w:rPr>
                <w:rFonts w:ascii="Times New Roman" w:hAnsi="Times New Roman" w:cs="Times New Roman"/>
                <w:color w:val="000000"/>
                <w:sz w:val="16"/>
                <w:lang w:val="pl-PL"/>
              </w:rPr>
              <w:br/>
              <w:t>Cezary Błaszczyk</w:t>
            </w:r>
          </w:p>
        </w:tc>
        <w:tc>
          <w:tcPr>
            <w:tcW w:w="2232" w:type="dxa"/>
            <w:tcMar>
              <w:top w:w="100" w:type="dxa"/>
              <w:left w:w="110" w:type="dxa"/>
              <w:bottom w:w="100" w:type="dxa"/>
              <w:right w:w="110" w:type="dxa"/>
            </w:tcMar>
            <w:vAlign w:val="center"/>
          </w:tcPr>
          <w:p w14:paraId="357D4E52"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A1, A2, A3, A4, A5</w:t>
            </w:r>
          </w:p>
        </w:tc>
        <w:tc>
          <w:tcPr>
            <w:tcW w:w="2016" w:type="dxa"/>
            <w:tcMar>
              <w:top w:w="100" w:type="dxa"/>
              <w:left w:w="110" w:type="dxa"/>
              <w:bottom w:w="100" w:type="dxa"/>
              <w:right w:w="110" w:type="dxa"/>
            </w:tcMar>
            <w:vAlign w:val="center"/>
          </w:tcPr>
          <w:p w14:paraId="233275F5"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B1, B2, B3, B4, B5</w:t>
            </w:r>
          </w:p>
        </w:tc>
        <w:tc>
          <w:tcPr>
            <w:tcW w:w="4176" w:type="dxa"/>
            <w:tcMar>
              <w:top w:w="100" w:type="dxa"/>
              <w:left w:w="110" w:type="dxa"/>
              <w:bottom w:w="100" w:type="dxa"/>
              <w:right w:w="110" w:type="dxa"/>
            </w:tcMar>
            <w:vAlign w:val="center"/>
          </w:tcPr>
          <w:p w14:paraId="61E40D7F"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C1, C3, C4, D1, D2, E1, E4, E5</w:t>
            </w:r>
          </w:p>
        </w:tc>
      </w:tr>
      <w:tr w:rsidR="002334FE" w:rsidRPr="000D08DE" w14:paraId="0C1CD463" w14:textId="77777777">
        <w:trPr>
          <w:cantSplit/>
          <w:jc w:val="center"/>
        </w:trPr>
        <w:tc>
          <w:tcPr>
            <w:tcW w:w="2088" w:type="dxa"/>
            <w:shd w:val="clear" w:color="auto" w:fill="F3F4F6"/>
            <w:tcMar>
              <w:top w:w="100" w:type="dxa"/>
              <w:left w:w="110" w:type="dxa"/>
              <w:bottom w:w="100" w:type="dxa"/>
              <w:right w:w="110" w:type="dxa"/>
            </w:tcMar>
            <w:vAlign w:val="center"/>
          </w:tcPr>
          <w:p w14:paraId="1F4709D0"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P08</w:t>
            </w:r>
            <w:r w:rsidRPr="000D08DE">
              <w:rPr>
                <w:rFonts w:ascii="Times New Roman" w:hAnsi="Times New Roman" w:cs="Times New Roman"/>
                <w:color w:val="000000"/>
                <w:sz w:val="16"/>
                <w:lang w:val="pl-PL"/>
              </w:rPr>
              <w:br/>
              <w:t>Michał Urbańczyk</w:t>
            </w:r>
          </w:p>
        </w:tc>
        <w:tc>
          <w:tcPr>
            <w:tcW w:w="2232" w:type="dxa"/>
            <w:shd w:val="clear" w:color="auto" w:fill="F3F4F6"/>
            <w:tcMar>
              <w:top w:w="100" w:type="dxa"/>
              <w:left w:w="110" w:type="dxa"/>
              <w:bottom w:w="100" w:type="dxa"/>
              <w:right w:w="110" w:type="dxa"/>
            </w:tcMar>
            <w:vAlign w:val="center"/>
          </w:tcPr>
          <w:p w14:paraId="03502910"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A1, A2, A3, A5, A6</w:t>
            </w:r>
          </w:p>
        </w:tc>
        <w:tc>
          <w:tcPr>
            <w:tcW w:w="2016" w:type="dxa"/>
            <w:shd w:val="clear" w:color="auto" w:fill="F3F4F6"/>
            <w:tcMar>
              <w:top w:w="100" w:type="dxa"/>
              <w:left w:w="110" w:type="dxa"/>
              <w:bottom w:w="100" w:type="dxa"/>
              <w:right w:w="110" w:type="dxa"/>
            </w:tcMar>
            <w:vAlign w:val="center"/>
          </w:tcPr>
          <w:p w14:paraId="3543FCA4"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B1, B3, B4</w:t>
            </w:r>
          </w:p>
        </w:tc>
        <w:tc>
          <w:tcPr>
            <w:tcW w:w="4176" w:type="dxa"/>
            <w:shd w:val="clear" w:color="auto" w:fill="F3F4F6"/>
            <w:tcMar>
              <w:top w:w="100" w:type="dxa"/>
              <w:left w:w="110" w:type="dxa"/>
              <w:bottom w:w="100" w:type="dxa"/>
              <w:right w:w="110" w:type="dxa"/>
            </w:tcMar>
            <w:vAlign w:val="center"/>
          </w:tcPr>
          <w:p w14:paraId="0C3FF168"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C1, C2, C3, D1, E1, E5</w:t>
            </w:r>
          </w:p>
        </w:tc>
      </w:tr>
      <w:tr w:rsidR="002334FE" w:rsidRPr="000D08DE" w14:paraId="12465660" w14:textId="77777777">
        <w:trPr>
          <w:cantSplit/>
          <w:jc w:val="center"/>
        </w:trPr>
        <w:tc>
          <w:tcPr>
            <w:tcW w:w="2088" w:type="dxa"/>
            <w:tcMar>
              <w:top w:w="100" w:type="dxa"/>
              <w:left w:w="110" w:type="dxa"/>
              <w:bottom w:w="100" w:type="dxa"/>
              <w:right w:w="110" w:type="dxa"/>
            </w:tcMar>
            <w:vAlign w:val="center"/>
          </w:tcPr>
          <w:p w14:paraId="490C96E2"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P09</w:t>
            </w:r>
            <w:r w:rsidRPr="000D08DE">
              <w:rPr>
                <w:rFonts w:ascii="Times New Roman" w:hAnsi="Times New Roman" w:cs="Times New Roman"/>
                <w:color w:val="000000"/>
                <w:sz w:val="16"/>
                <w:lang w:val="pl-PL"/>
              </w:rPr>
              <w:br/>
              <w:t>Iwona Barwicka Tylek</w:t>
            </w:r>
          </w:p>
        </w:tc>
        <w:tc>
          <w:tcPr>
            <w:tcW w:w="2232" w:type="dxa"/>
            <w:tcMar>
              <w:top w:w="100" w:type="dxa"/>
              <w:left w:w="110" w:type="dxa"/>
              <w:bottom w:w="100" w:type="dxa"/>
              <w:right w:w="110" w:type="dxa"/>
            </w:tcMar>
            <w:vAlign w:val="center"/>
          </w:tcPr>
          <w:p w14:paraId="0305296E"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A1, A2, A3, A4, A5</w:t>
            </w:r>
          </w:p>
        </w:tc>
        <w:tc>
          <w:tcPr>
            <w:tcW w:w="2016" w:type="dxa"/>
            <w:tcMar>
              <w:top w:w="100" w:type="dxa"/>
              <w:left w:w="110" w:type="dxa"/>
              <w:bottom w:w="100" w:type="dxa"/>
              <w:right w:w="110" w:type="dxa"/>
            </w:tcMar>
            <w:vAlign w:val="center"/>
          </w:tcPr>
          <w:p w14:paraId="781325D1"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B1, B3, B5</w:t>
            </w:r>
          </w:p>
        </w:tc>
        <w:tc>
          <w:tcPr>
            <w:tcW w:w="4176" w:type="dxa"/>
            <w:tcMar>
              <w:top w:w="100" w:type="dxa"/>
              <w:left w:w="110" w:type="dxa"/>
              <w:bottom w:w="100" w:type="dxa"/>
              <w:right w:w="110" w:type="dxa"/>
            </w:tcMar>
            <w:vAlign w:val="center"/>
          </w:tcPr>
          <w:p w14:paraId="119EC05C"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C1, C2, C4, D1, D2, E1, E2, E3, E5</w:t>
            </w:r>
          </w:p>
        </w:tc>
      </w:tr>
      <w:tr w:rsidR="002334FE" w:rsidRPr="000D08DE" w14:paraId="4F401A33" w14:textId="77777777">
        <w:trPr>
          <w:cantSplit/>
          <w:jc w:val="center"/>
        </w:trPr>
        <w:tc>
          <w:tcPr>
            <w:tcW w:w="2088" w:type="dxa"/>
            <w:shd w:val="clear" w:color="auto" w:fill="F3F4F6"/>
            <w:tcMar>
              <w:top w:w="100" w:type="dxa"/>
              <w:left w:w="110" w:type="dxa"/>
              <w:bottom w:w="100" w:type="dxa"/>
              <w:right w:w="110" w:type="dxa"/>
            </w:tcMar>
            <w:vAlign w:val="center"/>
          </w:tcPr>
          <w:p w14:paraId="2F6C6942"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P10</w:t>
            </w:r>
            <w:r w:rsidRPr="000D08DE">
              <w:rPr>
                <w:rFonts w:ascii="Times New Roman" w:hAnsi="Times New Roman" w:cs="Times New Roman"/>
                <w:color w:val="000000"/>
                <w:sz w:val="16"/>
                <w:lang w:val="pl-PL"/>
              </w:rPr>
              <w:br/>
              <w:t xml:space="preserve">Michał </w:t>
            </w:r>
            <w:proofErr w:type="spellStart"/>
            <w:r w:rsidRPr="000D08DE">
              <w:rPr>
                <w:rFonts w:ascii="Times New Roman" w:hAnsi="Times New Roman" w:cs="Times New Roman"/>
                <w:color w:val="000000"/>
                <w:sz w:val="16"/>
                <w:lang w:val="pl-PL"/>
              </w:rPr>
              <w:t>Rupniewski</w:t>
            </w:r>
            <w:proofErr w:type="spellEnd"/>
          </w:p>
        </w:tc>
        <w:tc>
          <w:tcPr>
            <w:tcW w:w="2232" w:type="dxa"/>
            <w:shd w:val="clear" w:color="auto" w:fill="F3F4F6"/>
            <w:tcMar>
              <w:top w:w="100" w:type="dxa"/>
              <w:left w:w="110" w:type="dxa"/>
              <w:bottom w:w="100" w:type="dxa"/>
              <w:right w:w="110" w:type="dxa"/>
            </w:tcMar>
            <w:vAlign w:val="center"/>
          </w:tcPr>
          <w:p w14:paraId="6D0ECE48"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A1, A2, A4, A5</w:t>
            </w:r>
          </w:p>
        </w:tc>
        <w:tc>
          <w:tcPr>
            <w:tcW w:w="2016" w:type="dxa"/>
            <w:shd w:val="clear" w:color="auto" w:fill="F3F4F6"/>
            <w:tcMar>
              <w:top w:w="100" w:type="dxa"/>
              <w:left w:w="110" w:type="dxa"/>
              <w:bottom w:w="100" w:type="dxa"/>
              <w:right w:w="110" w:type="dxa"/>
            </w:tcMar>
            <w:vAlign w:val="center"/>
          </w:tcPr>
          <w:p w14:paraId="6C0CA108"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B1, B3, B4, B5</w:t>
            </w:r>
          </w:p>
        </w:tc>
        <w:tc>
          <w:tcPr>
            <w:tcW w:w="4176" w:type="dxa"/>
            <w:shd w:val="clear" w:color="auto" w:fill="F3F4F6"/>
            <w:tcMar>
              <w:top w:w="100" w:type="dxa"/>
              <w:left w:w="110" w:type="dxa"/>
              <w:bottom w:w="100" w:type="dxa"/>
              <w:right w:w="110" w:type="dxa"/>
            </w:tcMar>
            <w:vAlign w:val="center"/>
          </w:tcPr>
          <w:p w14:paraId="3B8A99EE"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C1, C2, C3, D2, E1, E2, E3, E5</w:t>
            </w:r>
          </w:p>
        </w:tc>
      </w:tr>
      <w:tr w:rsidR="002334FE" w:rsidRPr="000D08DE" w14:paraId="7269102A" w14:textId="77777777">
        <w:trPr>
          <w:cantSplit/>
          <w:jc w:val="center"/>
        </w:trPr>
        <w:tc>
          <w:tcPr>
            <w:tcW w:w="2088" w:type="dxa"/>
            <w:tcMar>
              <w:top w:w="100" w:type="dxa"/>
              <w:left w:w="110" w:type="dxa"/>
              <w:bottom w:w="100" w:type="dxa"/>
              <w:right w:w="110" w:type="dxa"/>
            </w:tcMar>
            <w:vAlign w:val="center"/>
          </w:tcPr>
          <w:p w14:paraId="6939EF17"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P11</w:t>
            </w:r>
            <w:r w:rsidRPr="000D08DE">
              <w:rPr>
                <w:rFonts w:ascii="Times New Roman" w:hAnsi="Times New Roman" w:cs="Times New Roman"/>
                <w:color w:val="000000"/>
                <w:sz w:val="16"/>
                <w:lang w:val="pl-PL"/>
              </w:rPr>
              <w:br/>
              <w:t>Anna Tarnowska</w:t>
            </w:r>
          </w:p>
        </w:tc>
        <w:tc>
          <w:tcPr>
            <w:tcW w:w="2232" w:type="dxa"/>
            <w:tcMar>
              <w:top w:w="100" w:type="dxa"/>
              <w:left w:w="110" w:type="dxa"/>
              <w:bottom w:w="100" w:type="dxa"/>
              <w:right w:w="110" w:type="dxa"/>
            </w:tcMar>
            <w:vAlign w:val="center"/>
          </w:tcPr>
          <w:p w14:paraId="6E963A04"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A1, A2, A3, A4, A5, A6</w:t>
            </w:r>
          </w:p>
        </w:tc>
        <w:tc>
          <w:tcPr>
            <w:tcW w:w="2016" w:type="dxa"/>
            <w:tcMar>
              <w:top w:w="100" w:type="dxa"/>
              <w:left w:w="110" w:type="dxa"/>
              <w:bottom w:w="100" w:type="dxa"/>
              <w:right w:w="110" w:type="dxa"/>
            </w:tcMar>
            <w:vAlign w:val="center"/>
          </w:tcPr>
          <w:p w14:paraId="143CA48A"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B1, B2, B3, B5</w:t>
            </w:r>
          </w:p>
        </w:tc>
        <w:tc>
          <w:tcPr>
            <w:tcW w:w="4176" w:type="dxa"/>
            <w:tcMar>
              <w:top w:w="100" w:type="dxa"/>
              <w:left w:w="110" w:type="dxa"/>
              <w:bottom w:w="100" w:type="dxa"/>
              <w:right w:w="110" w:type="dxa"/>
            </w:tcMar>
            <w:vAlign w:val="center"/>
          </w:tcPr>
          <w:p w14:paraId="758109FC"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C1, C3, C4, D1, D2, E1, E2, E5</w:t>
            </w:r>
          </w:p>
        </w:tc>
      </w:tr>
      <w:tr w:rsidR="002334FE" w:rsidRPr="000D08DE" w14:paraId="205E3EB3" w14:textId="77777777">
        <w:trPr>
          <w:cantSplit/>
          <w:jc w:val="center"/>
        </w:trPr>
        <w:tc>
          <w:tcPr>
            <w:tcW w:w="2088" w:type="dxa"/>
            <w:shd w:val="clear" w:color="auto" w:fill="F3F4F6"/>
            <w:tcMar>
              <w:top w:w="100" w:type="dxa"/>
              <w:left w:w="110" w:type="dxa"/>
              <w:bottom w:w="100" w:type="dxa"/>
              <w:right w:w="110" w:type="dxa"/>
            </w:tcMar>
            <w:vAlign w:val="center"/>
          </w:tcPr>
          <w:p w14:paraId="439E129E"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P12</w:t>
            </w:r>
            <w:r w:rsidRPr="000D08DE">
              <w:rPr>
                <w:rFonts w:ascii="Times New Roman" w:hAnsi="Times New Roman" w:cs="Times New Roman"/>
                <w:color w:val="000000"/>
                <w:sz w:val="16"/>
                <w:lang w:val="pl-PL"/>
              </w:rPr>
              <w:br/>
              <w:t xml:space="preserve">Tomasz </w:t>
            </w:r>
            <w:proofErr w:type="spellStart"/>
            <w:r w:rsidRPr="000D08DE">
              <w:rPr>
                <w:rFonts w:ascii="Times New Roman" w:hAnsi="Times New Roman" w:cs="Times New Roman"/>
                <w:color w:val="000000"/>
                <w:sz w:val="16"/>
                <w:lang w:val="pl-PL"/>
              </w:rPr>
              <w:t>Tulejski</w:t>
            </w:r>
            <w:proofErr w:type="spellEnd"/>
          </w:p>
        </w:tc>
        <w:tc>
          <w:tcPr>
            <w:tcW w:w="2232" w:type="dxa"/>
            <w:shd w:val="clear" w:color="auto" w:fill="F3F4F6"/>
            <w:tcMar>
              <w:top w:w="100" w:type="dxa"/>
              <w:left w:w="110" w:type="dxa"/>
              <w:bottom w:w="100" w:type="dxa"/>
              <w:right w:w="110" w:type="dxa"/>
            </w:tcMar>
            <w:vAlign w:val="center"/>
          </w:tcPr>
          <w:p w14:paraId="223D1EE0"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A1, A2, A4</w:t>
            </w:r>
          </w:p>
        </w:tc>
        <w:tc>
          <w:tcPr>
            <w:tcW w:w="2016" w:type="dxa"/>
            <w:shd w:val="clear" w:color="auto" w:fill="F3F4F6"/>
            <w:tcMar>
              <w:top w:w="100" w:type="dxa"/>
              <w:left w:w="110" w:type="dxa"/>
              <w:bottom w:w="100" w:type="dxa"/>
              <w:right w:w="110" w:type="dxa"/>
            </w:tcMar>
            <w:vAlign w:val="center"/>
          </w:tcPr>
          <w:p w14:paraId="1DD64B4C"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B2, B3</w:t>
            </w:r>
          </w:p>
        </w:tc>
        <w:tc>
          <w:tcPr>
            <w:tcW w:w="4176" w:type="dxa"/>
            <w:shd w:val="clear" w:color="auto" w:fill="F3F4F6"/>
            <w:tcMar>
              <w:top w:w="100" w:type="dxa"/>
              <w:left w:w="110" w:type="dxa"/>
              <w:bottom w:w="100" w:type="dxa"/>
              <w:right w:w="110" w:type="dxa"/>
            </w:tcMar>
            <w:vAlign w:val="center"/>
          </w:tcPr>
          <w:p w14:paraId="411366DF"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C2, D2, E2</w:t>
            </w:r>
          </w:p>
        </w:tc>
      </w:tr>
      <w:tr w:rsidR="002334FE" w:rsidRPr="000D08DE" w14:paraId="303E72FE" w14:textId="77777777">
        <w:trPr>
          <w:cantSplit/>
          <w:jc w:val="center"/>
        </w:trPr>
        <w:tc>
          <w:tcPr>
            <w:tcW w:w="2088" w:type="dxa"/>
            <w:tcMar>
              <w:top w:w="100" w:type="dxa"/>
              <w:left w:w="110" w:type="dxa"/>
              <w:bottom w:w="100" w:type="dxa"/>
              <w:right w:w="110" w:type="dxa"/>
            </w:tcMar>
            <w:vAlign w:val="center"/>
          </w:tcPr>
          <w:p w14:paraId="5A9809A8"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P13</w:t>
            </w:r>
            <w:r w:rsidRPr="000D08DE">
              <w:rPr>
                <w:rFonts w:ascii="Times New Roman" w:hAnsi="Times New Roman" w:cs="Times New Roman"/>
                <w:color w:val="000000"/>
                <w:sz w:val="16"/>
                <w:lang w:val="pl-PL"/>
              </w:rPr>
              <w:br/>
              <w:t>Tomasz Scheffler</w:t>
            </w:r>
          </w:p>
        </w:tc>
        <w:tc>
          <w:tcPr>
            <w:tcW w:w="2232" w:type="dxa"/>
            <w:tcMar>
              <w:top w:w="100" w:type="dxa"/>
              <w:left w:w="110" w:type="dxa"/>
              <w:bottom w:w="100" w:type="dxa"/>
              <w:right w:w="110" w:type="dxa"/>
            </w:tcMar>
            <w:vAlign w:val="center"/>
          </w:tcPr>
          <w:p w14:paraId="15B74774"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A1, A2, A3, A4, A5, A6</w:t>
            </w:r>
          </w:p>
        </w:tc>
        <w:tc>
          <w:tcPr>
            <w:tcW w:w="2016" w:type="dxa"/>
            <w:tcMar>
              <w:top w:w="100" w:type="dxa"/>
              <w:left w:w="110" w:type="dxa"/>
              <w:bottom w:w="100" w:type="dxa"/>
              <w:right w:w="110" w:type="dxa"/>
            </w:tcMar>
            <w:vAlign w:val="center"/>
          </w:tcPr>
          <w:p w14:paraId="333CE351"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B1, B2, B3, B4, B5</w:t>
            </w:r>
          </w:p>
        </w:tc>
        <w:tc>
          <w:tcPr>
            <w:tcW w:w="4176" w:type="dxa"/>
            <w:tcMar>
              <w:top w:w="100" w:type="dxa"/>
              <w:left w:w="110" w:type="dxa"/>
              <w:bottom w:w="100" w:type="dxa"/>
              <w:right w:w="110" w:type="dxa"/>
            </w:tcMar>
            <w:vAlign w:val="center"/>
          </w:tcPr>
          <w:p w14:paraId="41E95A6A"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C1, C2, D1, D2, E1, E2, E4, E5</w:t>
            </w:r>
          </w:p>
        </w:tc>
      </w:tr>
      <w:tr w:rsidR="002334FE" w:rsidRPr="000D08DE" w14:paraId="0273ADAD" w14:textId="77777777">
        <w:trPr>
          <w:cantSplit/>
          <w:jc w:val="center"/>
        </w:trPr>
        <w:tc>
          <w:tcPr>
            <w:tcW w:w="2088" w:type="dxa"/>
            <w:shd w:val="clear" w:color="auto" w:fill="F3F4F6"/>
            <w:tcMar>
              <w:top w:w="100" w:type="dxa"/>
              <w:left w:w="110" w:type="dxa"/>
              <w:bottom w:w="100" w:type="dxa"/>
              <w:right w:w="110" w:type="dxa"/>
            </w:tcMar>
            <w:vAlign w:val="center"/>
          </w:tcPr>
          <w:p w14:paraId="66CE55FC"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P14</w:t>
            </w:r>
            <w:r w:rsidRPr="000D08DE">
              <w:rPr>
                <w:rFonts w:ascii="Times New Roman" w:hAnsi="Times New Roman" w:cs="Times New Roman"/>
                <w:color w:val="000000"/>
                <w:sz w:val="16"/>
                <w:lang w:val="pl-PL"/>
              </w:rPr>
              <w:br/>
              <w:t>Agata Grudzińska</w:t>
            </w:r>
          </w:p>
        </w:tc>
        <w:tc>
          <w:tcPr>
            <w:tcW w:w="2232" w:type="dxa"/>
            <w:shd w:val="clear" w:color="auto" w:fill="F3F4F6"/>
            <w:tcMar>
              <w:top w:w="100" w:type="dxa"/>
              <w:left w:w="110" w:type="dxa"/>
              <w:bottom w:w="100" w:type="dxa"/>
              <w:right w:w="110" w:type="dxa"/>
            </w:tcMar>
            <w:vAlign w:val="center"/>
          </w:tcPr>
          <w:p w14:paraId="14C58AFA"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A1, A3, A5, A6</w:t>
            </w:r>
          </w:p>
        </w:tc>
        <w:tc>
          <w:tcPr>
            <w:tcW w:w="2016" w:type="dxa"/>
            <w:shd w:val="clear" w:color="auto" w:fill="F3F4F6"/>
            <w:tcMar>
              <w:top w:w="100" w:type="dxa"/>
              <w:left w:w="110" w:type="dxa"/>
              <w:bottom w:w="100" w:type="dxa"/>
              <w:right w:w="110" w:type="dxa"/>
            </w:tcMar>
            <w:vAlign w:val="center"/>
          </w:tcPr>
          <w:p w14:paraId="797157E8"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B1, B2</w:t>
            </w:r>
          </w:p>
        </w:tc>
        <w:tc>
          <w:tcPr>
            <w:tcW w:w="4176" w:type="dxa"/>
            <w:shd w:val="clear" w:color="auto" w:fill="F3F4F6"/>
            <w:tcMar>
              <w:top w:w="100" w:type="dxa"/>
              <w:left w:w="110" w:type="dxa"/>
              <w:bottom w:w="100" w:type="dxa"/>
              <w:right w:w="110" w:type="dxa"/>
            </w:tcMar>
            <w:vAlign w:val="center"/>
          </w:tcPr>
          <w:p w14:paraId="0C465D3D"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C1, C2, C4, D1, D2, E1, E3, E5</w:t>
            </w:r>
          </w:p>
        </w:tc>
      </w:tr>
      <w:tr w:rsidR="002334FE" w:rsidRPr="000D08DE" w14:paraId="121BD611" w14:textId="77777777">
        <w:trPr>
          <w:cantSplit/>
          <w:jc w:val="center"/>
        </w:trPr>
        <w:tc>
          <w:tcPr>
            <w:tcW w:w="2088" w:type="dxa"/>
            <w:tcMar>
              <w:top w:w="100" w:type="dxa"/>
              <w:left w:w="110" w:type="dxa"/>
              <w:bottom w:w="100" w:type="dxa"/>
              <w:right w:w="110" w:type="dxa"/>
            </w:tcMar>
            <w:vAlign w:val="center"/>
          </w:tcPr>
          <w:p w14:paraId="2ADA8863"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P15</w:t>
            </w:r>
            <w:r w:rsidRPr="000D08DE">
              <w:rPr>
                <w:rFonts w:ascii="Times New Roman" w:hAnsi="Times New Roman" w:cs="Times New Roman"/>
                <w:color w:val="000000"/>
                <w:sz w:val="16"/>
                <w:lang w:val="pl-PL"/>
              </w:rPr>
              <w:br/>
              <w:t>Krystyna Chojnicka</w:t>
            </w:r>
          </w:p>
        </w:tc>
        <w:tc>
          <w:tcPr>
            <w:tcW w:w="2232" w:type="dxa"/>
            <w:tcMar>
              <w:top w:w="100" w:type="dxa"/>
              <w:left w:w="110" w:type="dxa"/>
              <w:bottom w:w="100" w:type="dxa"/>
              <w:right w:w="110" w:type="dxa"/>
            </w:tcMar>
            <w:vAlign w:val="center"/>
          </w:tcPr>
          <w:p w14:paraId="1CAEFCD6"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A1, A3</w:t>
            </w:r>
          </w:p>
        </w:tc>
        <w:tc>
          <w:tcPr>
            <w:tcW w:w="2016" w:type="dxa"/>
            <w:tcMar>
              <w:top w:w="100" w:type="dxa"/>
              <w:left w:w="110" w:type="dxa"/>
              <w:bottom w:w="100" w:type="dxa"/>
              <w:right w:w="110" w:type="dxa"/>
            </w:tcMar>
            <w:vAlign w:val="center"/>
          </w:tcPr>
          <w:p w14:paraId="00265113"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B1, B2, B3</w:t>
            </w:r>
          </w:p>
        </w:tc>
        <w:tc>
          <w:tcPr>
            <w:tcW w:w="4176" w:type="dxa"/>
            <w:tcMar>
              <w:top w:w="100" w:type="dxa"/>
              <w:left w:w="110" w:type="dxa"/>
              <w:bottom w:w="100" w:type="dxa"/>
              <w:right w:w="110" w:type="dxa"/>
            </w:tcMar>
            <w:vAlign w:val="center"/>
          </w:tcPr>
          <w:p w14:paraId="5900E346"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C1, C2, E1, E3, E5</w:t>
            </w:r>
          </w:p>
        </w:tc>
      </w:tr>
    </w:tbl>
    <w:p w14:paraId="50EFFFAD" w14:textId="77777777" w:rsidR="002334FE" w:rsidRPr="000D08DE" w:rsidRDefault="002334FE">
      <w:pPr>
        <w:spacing w:after="20"/>
        <w:rPr>
          <w:rFonts w:ascii="Times New Roman" w:hAnsi="Times New Roman" w:cs="Times New Roman"/>
          <w:lang w:val="pl-PL"/>
        </w:rPr>
      </w:pPr>
    </w:p>
    <w:p w14:paraId="22305DDA" w14:textId="355AED34" w:rsidR="002334FE" w:rsidRPr="000D08DE" w:rsidRDefault="00440E91" w:rsidP="003D2994">
      <w:pPr>
        <w:pStyle w:val="Nagwek2"/>
        <w:numPr>
          <w:ilvl w:val="1"/>
          <w:numId w:val="10"/>
        </w:numPr>
        <w:rPr>
          <w:rFonts w:ascii="Times New Roman" w:hAnsi="Times New Roman" w:cs="Times New Roman"/>
          <w:lang w:val="pl-PL"/>
        </w:rPr>
      </w:pPr>
      <w:r w:rsidRPr="000D08DE">
        <w:rPr>
          <w:rFonts w:ascii="Times New Roman" w:hAnsi="Times New Roman" w:cs="Times New Roman"/>
          <w:lang w:val="pl-PL"/>
        </w:rPr>
        <w:t>Rozkład kodów w korpusie</w:t>
      </w:r>
    </w:p>
    <w:p w14:paraId="348D2B0B" w14:textId="77777777" w:rsidR="002334FE" w:rsidRPr="000D08DE" w:rsidRDefault="00440E91" w:rsidP="00DB06B6">
      <w:pPr>
        <w:jc w:val="both"/>
        <w:rPr>
          <w:rFonts w:ascii="Times New Roman" w:hAnsi="Times New Roman" w:cs="Times New Roman"/>
          <w:lang w:val="pl-PL"/>
        </w:rPr>
      </w:pPr>
      <w:r w:rsidRPr="000D08DE">
        <w:rPr>
          <w:rFonts w:ascii="Times New Roman" w:hAnsi="Times New Roman" w:cs="Times New Roman"/>
          <w:lang w:val="pl-PL"/>
        </w:rPr>
        <w:t>Zestawienie wskazuje zasięg kodu na poziomie przypadków analitycznych. Nie służy do wnioskowania statystycznego, lecz pomaga odróżnić wzory przekrojowe od stanowisk jednostkowych. Liczby obejmują P15 tylko tam, gdzie dany kod znajduje wyraźne oparcie w notatce.</w:t>
      </w:r>
    </w:p>
    <w:tbl>
      <w:tblPr>
        <w:tblW w:w="0" w:type="auto"/>
        <w:jc w:val="center"/>
        <w:tblLayout w:type="fixed"/>
        <w:tblLook w:val="04A0" w:firstRow="1" w:lastRow="0" w:firstColumn="1" w:lastColumn="0" w:noHBand="0" w:noVBand="1"/>
      </w:tblPr>
      <w:tblGrid>
        <w:gridCol w:w="749"/>
        <w:gridCol w:w="3672"/>
        <w:gridCol w:w="1512"/>
        <w:gridCol w:w="4320"/>
      </w:tblGrid>
      <w:tr w:rsidR="002334FE" w:rsidRPr="000D08DE" w14:paraId="0A0DC208" w14:textId="77777777">
        <w:trPr>
          <w:cantSplit/>
          <w:tblHeader/>
          <w:jc w:val="center"/>
        </w:trPr>
        <w:tc>
          <w:tcPr>
            <w:tcW w:w="749" w:type="dxa"/>
            <w:shd w:val="clear" w:color="auto" w:fill="374151"/>
            <w:tcMar>
              <w:top w:w="100" w:type="dxa"/>
              <w:left w:w="110" w:type="dxa"/>
              <w:bottom w:w="100" w:type="dxa"/>
              <w:right w:w="110" w:type="dxa"/>
            </w:tcMar>
            <w:vAlign w:val="center"/>
          </w:tcPr>
          <w:p w14:paraId="26B91D57"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b/>
                <w:color w:val="FFFFFF"/>
                <w:sz w:val="16"/>
                <w:lang w:val="pl-PL"/>
              </w:rPr>
              <w:t>Kod</w:t>
            </w:r>
          </w:p>
        </w:tc>
        <w:tc>
          <w:tcPr>
            <w:tcW w:w="3672" w:type="dxa"/>
            <w:shd w:val="clear" w:color="auto" w:fill="374151"/>
            <w:tcMar>
              <w:top w:w="100" w:type="dxa"/>
              <w:left w:w="110" w:type="dxa"/>
              <w:bottom w:w="100" w:type="dxa"/>
              <w:right w:w="110" w:type="dxa"/>
            </w:tcMar>
            <w:vAlign w:val="center"/>
          </w:tcPr>
          <w:p w14:paraId="26A74C01"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b/>
                <w:color w:val="FFFFFF"/>
                <w:sz w:val="16"/>
                <w:lang w:val="pl-PL"/>
              </w:rPr>
              <w:t>Nazwa</w:t>
            </w:r>
          </w:p>
        </w:tc>
        <w:tc>
          <w:tcPr>
            <w:tcW w:w="1512" w:type="dxa"/>
            <w:shd w:val="clear" w:color="auto" w:fill="374151"/>
            <w:tcMar>
              <w:top w:w="100" w:type="dxa"/>
              <w:left w:w="110" w:type="dxa"/>
              <w:bottom w:w="100" w:type="dxa"/>
              <w:right w:w="110" w:type="dxa"/>
            </w:tcMar>
            <w:vAlign w:val="center"/>
          </w:tcPr>
          <w:p w14:paraId="7B1B7B15"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b/>
                <w:color w:val="FFFFFF"/>
                <w:sz w:val="16"/>
                <w:lang w:val="pl-PL"/>
              </w:rPr>
              <w:t>Liczba przypadków</w:t>
            </w:r>
          </w:p>
        </w:tc>
        <w:tc>
          <w:tcPr>
            <w:tcW w:w="4320" w:type="dxa"/>
            <w:shd w:val="clear" w:color="auto" w:fill="374151"/>
            <w:tcMar>
              <w:top w:w="100" w:type="dxa"/>
              <w:left w:w="110" w:type="dxa"/>
              <w:bottom w:w="100" w:type="dxa"/>
              <w:right w:w="110" w:type="dxa"/>
            </w:tcMar>
            <w:vAlign w:val="center"/>
          </w:tcPr>
          <w:p w14:paraId="684DC1B9"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b/>
                <w:color w:val="FFFFFF"/>
                <w:sz w:val="16"/>
                <w:lang w:val="pl-PL"/>
              </w:rPr>
              <w:t>Przypadki</w:t>
            </w:r>
          </w:p>
        </w:tc>
      </w:tr>
      <w:tr w:rsidR="002334FE" w:rsidRPr="000D08DE" w14:paraId="4D5779BC" w14:textId="77777777">
        <w:trPr>
          <w:cantSplit/>
          <w:jc w:val="center"/>
        </w:trPr>
        <w:tc>
          <w:tcPr>
            <w:tcW w:w="749" w:type="dxa"/>
            <w:tcMar>
              <w:top w:w="100" w:type="dxa"/>
              <w:left w:w="110" w:type="dxa"/>
              <w:bottom w:w="100" w:type="dxa"/>
              <w:right w:w="110" w:type="dxa"/>
            </w:tcMar>
            <w:vAlign w:val="center"/>
          </w:tcPr>
          <w:p w14:paraId="4CD96EFE"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A1</w:t>
            </w:r>
          </w:p>
        </w:tc>
        <w:tc>
          <w:tcPr>
            <w:tcW w:w="3672" w:type="dxa"/>
            <w:tcMar>
              <w:top w:w="100" w:type="dxa"/>
              <w:left w:w="110" w:type="dxa"/>
              <w:bottom w:w="100" w:type="dxa"/>
              <w:right w:w="110" w:type="dxa"/>
            </w:tcMar>
            <w:vAlign w:val="center"/>
          </w:tcPr>
          <w:p w14:paraId="4C83E80E"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Krytyczne myślenie i teraźniejszość</w:t>
            </w:r>
          </w:p>
        </w:tc>
        <w:tc>
          <w:tcPr>
            <w:tcW w:w="1512" w:type="dxa"/>
            <w:tcMar>
              <w:top w:w="100" w:type="dxa"/>
              <w:left w:w="110" w:type="dxa"/>
              <w:bottom w:w="100" w:type="dxa"/>
              <w:right w:w="110" w:type="dxa"/>
            </w:tcMar>
            <w:vAlign w:val="center"/>
          </w:tcPr>
          <w:p w14:paraId="7B6A3C7F"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15</w:t>
            </w:r>
          </w:p>
        </w:tc>
        <w:tc>
          <w:tcPr>
            <w:tcW w:w="4320" w:type="dxa"/>
            <w:tcMar>
              <w:top w:w="100" w:type="dxa"/>
              <w:left w:w="110" w:type="dxa"/>
              <w:bottom w:w="100" w:type="dxa"/>
              <w:right w:w="110" w:type="dxa"/>
            </w:tcMar>
            <w:vAlign w:val="center"/>
          </w:tcPr>
          <w:p w14:paraId="359FC50E"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P01 P02 P03 P04 P05 P06 P07 P08 P09 P10 P11 P12 P13 P14 P15</w:t>
            </w:r>
          </w:p>
        </w:tc>
      </w:tr>
      <w:tr w:rsidR="002334FE" w:rsidRPr="000D08DE" w14:paraId="1E059824" w14:textId="77777777">
        <w:trPr>
          <w:cantSplit/>
          <w:jc w:val="center"/>
        </w:trPr>
        <w:tc>
          <w:tcPr>
            <w:tcW w:w="749" w:type="dxa"/>
            <w:shd w:val="clear" w:color="auto" w:fill="F3F4F6"/>
            <w:tcMar>
              <w:top w:w="100" w:type="dxa"/>
              <w:left w:w="110" w:type="dxa"/>
              <w:bottom w:w="100" w:type="dxa"/>
              <w:right w:w="110" w:type="dxa"/>
            </w:tcMar>
            <w:vAlign w:val="center"/>
          </w:tcPr>
          <w:p w14:paraId="2FE5FE5C"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A2</w:t>
            </w:r>
          </w:p>
        </w:tc>
        <w:tc>
          <w:tcPr>
            <w:tcW w:w="3672" w:type="dxa"/>
            <w:shd w:val="clear" w:color="auto" w:fill="F3F4F6"/>
            <w:tcMar>
              <w:top w:w="100" w:type="dxa"/>
              <w:left w:w="110" w:type="dxa"/>
              <w:bottom w:w="100" w:type="dxa"/>
              <w:right w:w="110" w:type="dxa"/>
            </w:tcMar>
            <w:vAlign w:val="center"/>
          </w:tcPr>
          <w:p w14:paraId="255BD9D4"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Wpływ i przełomowość</w:t>
            </w:r>
          </w:p>
        </w:tc>
        <w:tc>
          <w:tcPr>
            <w:tcW w:w="1512" w:type="dxa"/>
            <w:shd w:val="clear" w:color="auto" w:fill="F3F4F6"/>
            <w:tcMar>
              <w:top w:w="100" w:type="dxa"/>
              <w:left w:w="110" w:type="dxa"/>
              <w:bottom w:w="100" w:type="dxa"/>
              <w:right w:w="110" w:type="dxa"/>
            </w:tcMar>
            <w:vAlign w:val="center"/>
          </w:tcPr>
          <w:p w14:paraId="4FC05BA7"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13</w:t>
            </w:r>
          </w:p>
        </w:tc>
        <w:tc>
          <w:tcPr>
            <w:tcW w:w="4320" w:type="dxa"/>
            <w:shd w:val="clear" w:color="auto" w:fill="F3F4F6"/>
            <w:tcMar>
              <w:top w:w="100" w:type="dxa"/>
              <w:left w:w="110" w:type="dxa"/>
              <w:bottom w:w="100" w:type="dxa"/>
              <w:right w:w="110" w:type="dxa"/>
            </w:tcMar>
            <w:vAlign w:val="center"/>
          </w:tcPr>
          <w:p w14:paraId="2188F401"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P01 P02 P03 P04 P05 P06 P07 P08 P09 P10 P11 P12 P13</w:t>
            </w:r>
          </w:p>
        </w:tc>
      </w:tr>
      <w:tr w:rsidR="002334FE" w:rsidRPr="000D08DE" w14:paraId="14331536" w14:textId="77777777">
        <w:trPr>
          <w:cantSplit/>
          <w:jc w:val="center"/>
        </w:trPr>
        <w:tc>
          <w:tcPr>
            <w:tcW w:w="749" w:type="dxa"/>
            <w:tcMar>
              <w:top w:w="100" w:type="dxa"/>
              <w:left w:w="110" w:type="dxa"/>
              <w:bottom w:w="100" w:type="dxa"/>
              <w:right w:w="110" w:type="dxa"/>
            </w:tcMar>
            <w:vAlign w:val="center"/>
          </w:tcPr>
          <w:p w14:paraId="57AA6562"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A3</w:t>
            </w:r>
          </w:p>
        </w:tc>
        <w:tc>
          <w:tcPr>
            <w:tcW w:w="3672" w:type="dxa"/>
            <w:tcMar>
              <w:top w:w="100" w:type="dxa"/>
              <w:left w:w="110" w:type="dxa"/>
              <w:bottom w:w="100" w:type="dxa"/>
              <w:right w:w="110" w:type="dxa"/>
            </w:tcMar>
            <w:vAlign w:val="center"/>
          </w:tcPr>
          <w:p w14:paraId="3F00454E"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Dziedziczony kanon i inercja</w:t>
            </w:r>
          </w:p>
        </w:tc>
        <w:tc>
          <w:tcPr>
            <w:tcW w:w="1512" w:type="dxa"/>
            <w:tcMar>
              <w:top w:w="100" w:type="dxa"/>
              <w:left w:w="110" w:type="dxa"/>
              <w:bottom w:w="100" w:type="dxa"/>
              <w:right w:w="110" w:type="dxa"/>
            </w:tcMar>
            <w:vAlign w:val="center"/>
          </w:tcPr>
          <w:p w14:paraId="086F9FF9"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12</w:t>
            </w:r>
          </w:p>
        </w:tc>
        <w:tc>
          <w:tcPr>
            <w:tcW w:w="4320" w:type="dxa"/>
            <w:tcMar>
              <w:top w:w="100" w:type="dxa"/>
              <w:left w:w="110" w:type="dxa"/>
              <w:bottom w:w="100" w:type="dxa"/>
              <w:right w:w="110" w:type="dxa"/>
            </w:tcMar>
            <w:vAlign w:val="center"/>
          </w:tcPr>
          <w:p w14:paraId="3D58D6BE"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P01 P02 P03 P04 P05 P07 P08 P09 P11 P13 P14 P15</w:t>
            </w:r>
          </w:p>
        </w:tc>
      </w:tr>
      <w:tr w:rsidR="002334FE" w:rsidRPr="000D08DE" w14:paraId="0B66062E" w14:textId="77777777">
        <w:trPr>
          <w:cantSplit/>
          <w:jc w:val="center"/>
        </w:trPr>
        <w:tc>
          <w:tcPr>
            <w:tcW w:w="749" w:type="dxa"/>
            <w:shd w:val="clear" w:color="auto" w:fill="F3F4F6"/>
            <w:tcMar>
              <w:top w:w="100" w:type="dxa"/>
              <w:left w:w="110" w:type="dxa"/>
              <w:bottom w:w="100" w:type="dxa"/>
              <w:right w:w="110" w:type="dxa"/>
            </w:tcMar>
            <w:vAlign w:val="center"/>
          </w:tcPr>
          <w:p w14:paraId="06C17876"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A4</w:t>
            </w:r>
          </w:p>
        </w:tc>
        <w:tc>
          <w:tcPr>
            <w:tcW w:w="3672" w:type="dxa"/>
            <w:shd w:val="clear" w:color="auto" w:fill="F3F4F6"/>
            <w:tcMar>
              <w:top w:w="100" w:type="dxa"/>
              <w:left w:w="110" w:type="dxa"/>
              <w:bottom w:w="100" w:type="dxa"/>
              <w:right w:w="110" w:type="dxa"/>
            </w:tcMar>
            <w:vAlign w:val="center"/>
          </w:tcPr>
          <w:p w14:paraId="4736F10D"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Autorskość i specjalizacja wykładowcy</w:t>
            </w:r>
          </w:p>
        </w:tc>
        <w:tc>
          <w:tcPr>
            <w:tcW w:w="1512" w:type="dxa"/>
            <w:shd w:val="clear" w:color="auto" w:fill="F3F4F6"/>
            <w:tcMar>
              <w:top w:w="100" w:type="dxa"/>
              <w:left w:w="110" w:type="dxa"/>
              <w:bottom w:w="100" w:type="dxa"/>
              <w:right w:w="110" w:type="dxa"/>
            </w:tcMar>
            <w:vAlign w:val="center"/>
          </w:tcPr>
          <w:p w14:paraId="21CA63AE"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12</w:t>
            </w:r>
          </w:p>
        </w:tc>
        <w:tc>
          <w:tcPr>
            <w:tcW w:w="4320" w:type="dxa"/>
            <w:shd w:val="clear" w:color="auto" w:fill="F3F4F6"/>
            <w:tcMar>
              <w:top w:w="100" w:type="dxa"/>
              <w:left w:w="110" w:type="dxa"/>
              <w:bottom w:w="100" w:type="dxa"/>
              <w:right w:w="110" w:type="dxa"/>
            </w:tcMar>
            <w:vAlign w:val="center"/>
          </w:tcPr>
          <w:p w14:paraId="6C5EC986"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P01 P02 P03 P04 P05 P06 P07 P09 P10 P11 P12 P13</w:t>
            </w:r>
          </w:p>
        </w:tc>
      </w:tr>
      <w:tr w:rsidR="002334FE" w:rsidRPr="000D08DE" w14:paraId="7E7126D5" w14:textId="77777777">
        <w:trPr>
          <w:cantSplit/>
          <w:jc w:val="center"/>
        </w:trPr>
        <w:tc>
          <w:tcPr>
            <w:tcW w:w="749" w:type="dxa"/>
            <w:tcMar>
              <w:top w:w="100" w:type="dxa"/>
              <w:left w:w="110" w:type="dxa"/>
              <w:bottom w:w="100" w:type="dxa"/>
              <w:right w:w="110" w:type="dxa"/>
            </w:tcMar>
            <w:vAlign w:val="center"/>
          </w:tcPr>
          <w:p w14:paraId="6407C6C9"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A5</w:t>
            </w:r>
          </w:p>
        </w:tc>
        <w:tc>
          <w:tcPr>
            <w:tcW w:w="3672" w:type="dxa"/>
            <w:tcMar>
              <w:top w:w="100" w:type="dxa"/>
              <w:left w:w="110" w:type="dxa"/>
              <w:bottom w:w="100" w:type="dxa"/>
              <w:right w:w="110" w:type="dxa"/>
            </w:tcMar>
            <w:vAlign w:val="center"/>
          </w:tcPr>
          <w:p w14:paraId="1961F014"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Presja czasu i chronologii</w:t>
            </w:r>
          </w:p>
        </w:tc>
        <w:tc>
          <w:tcPr>
            <w:tcW w:w="1512" w:type="dxa"/>
            <w:tcMar>
              <w:top w:w="100" w:type="dxa"/>
              <w:left w:w="110" w:type="dxa"/>
              <w:bottom w:w="100" w:type="dxa"/>
              <w:right w:w="110" w:type="dxa"/>
            </w:tcMar>
            <w:vAlign w:val="center"/>
          </w:tcPr>
          <w:p w14:paraId="5D43E7AF"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13</w:t>
            </w:r>
          </w:p>
        </w:tc>
        <w:tc>
          <w:tcPr>
            <w:tcW w:w="4320" w:type="dxa"/>
            <w:tcMar>
              <w:top w:w="100" w:type="dxa"/>
              <w:left w:w="110" w:type="dxa"/>
              <w:bottom w:w="100" w:type="dxa"/>
              <w:right w:w="110" w:type="dxa"/>
            </w:tcMar>
            <w:vAlign w:val="center"/>
          </w:tcPr>
          <w:p w14:paraId="111C1C2A"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P01 P02 P03 P04 P05 P06 P07 P08 P09 P10 P11 P13 P14</w:t>
            </w:r>
          </w:p>
        </w:tc>
      </w:tr>
      <w:tr w:rsidR="002334FE" w:rsidRPr="000D08DE" w14:paraId="1A84FDEB" w14:textId="77777777">
        <w:trPr>
          <w:cantSplit/>
          <w:jc w:val="center"/>
        </w:trPr>
        <w:tc>
          <w:tcPr>
            <w:tcW w:w="749" w:type="dxa"/>
            <w:shd w:val="clear" w:color="auto" w:fill="F3F4F6"/>
            <w:tcMar>
              <w:top w:w="100" w:type="dxa"/>
              <w:left w:w="110" w:type="dxa"/>
              <w:bottom w:w="100" w:type="dxa"/>
              <w:right w:w="110" w:type="dxa"/>
            </w:tcMar>
            <w:vAlign w:val="center"/>
          </w:tcPr>
          <w:p w14:paraId="55EBC6B1"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A6</w:t>
            </w:r>
          </w:p>
        </w:tc>
        <w:tc>
          <w:tcPr>
            <w:tcW w:w="3672" w:type="dxa"/>
            <w:shd w:val="clear" w:color="auto" w:fill="F3F4F6"/>
            <w:tcMar>
              <w:top w:w="100" w:type="dxa"/>
              <w:left w:w="110" w:type="dxa"/>
              <w:bottom w:w="100" w:type="dxa"/>
              <w:right w:w="110" w:type="dxa"/>
            </w:tcMar>
            <w:vAlign w:val="center"/>
          </w:tcPr>
          <w:p w14:paraId="5132642B"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Instytucjonalna marginalizacja przedmiotu</w:t>
            </w:r>
          </w:p>
        </w:tc>
        <w:tc>
          <w:tcPr>
            <w:tcW w:w="1512" w:type="dxa"/>
            <w:shd w:val="clear" w:color="auto" w:fill="F3F4F6"/>
            <w:tcMar>
              <w:top w:w="100" w:type="dxa"/>
              <w:left w:w="110" w:type="dxa"/>
              <w:bottom w:w="100" w:type="dxa"/>
              <w:right w:w="110" w:type="dxa"/>
            </w:tcMar>
            <w:vAlign w:val="center"/>
          </w:tcPr>
          <w:p w14:paraId="1539A6BB"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6</w:t>
            </w:r>
          </w:p>
        </w:tc>
        <w:tc>
          <w:tcPr>
            <w:tcW w:w="4320" w:type="dxa"/>
            <w:shd w:val="clear" w:color="auto" w:fill="F3F4F6"/>
            <w:tcMar>
              <w:top w:w="100" w:type="dxa"/>
              <w:left w:w="110" w:type="dxa"/>
              <w:bottom w:w="100" w:type="dxa"/>
              <w:right w:w="110" w:type="dxa"/>
            </w:tcMar>
            <w:vAlign w:val="center"/>
          </w:tcPr>
          <w:p w14:paraId="5FBE16FE"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P04 P06 P08 P11 P13 P14</w:t>
            </w:r>
          </w:p>
        </w:tc>
      </w:tr>
      <w:tr w:rsidR="002334FE" w:rsidRPr="000D08DE" w14:paraId="71D031A0" w14:textId="77777777">
        <w:trPr>
          <w:cantSplit/>
          <w:jc w:val="center"/>
        </w:trPr>
        <w:tc>
          <w:tcPr>
            <w:tcW w:w="749" w:type="dxa"/>
            <w:tcMar>
              <w:top w:w="100" w:type="dxa"/>
              <w:left w:w="110" w:type="dxa"/>
              <w:bottom w:w="100" w:type="dxa"/>
              <w:right w:w="110" w:type="dxa"/>
            </w:tcMar>
            <w:vAlign w:val="center"/>
          </w:tcPr>
          <w:p w14:paraId="7B0DEC92"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lastRenderedPageBreak/>
              <w:t>B1</w:t>
            </w:r>
          </w:p>
        </w:tc>
        <w:tc>
          <w:tcPr>
            <w:tcW w:w="3672" w:type="dxa"/>
            <w:tcMar>
              <w:top w:w="100" w:type="dxa"/>
              <w:left w:w="110" w:type="dxa"/>
              <w:bottom w:w="100" w:type="dxa"/>
              <w:right w:w="110" w:type="dxa"/>
            </w:tcMar>
            <w:vAlign w:val="center"/>
          </w:tcPr>
          <w:p w14:paraId="603992D3"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Marginalna widzialność kobiet</w:t>
            </w:r>
          </w:p>
        </w:tc>
        <w:tc>
          <w:tcPr>
            <w:tcW w:w="1512" w:type="dxa"/>
            <w:tcMar>
              <w:top w:w="100" w:type="dxa"/>
              <w:left w:w="110" w:type="dxa"/>
              <w:bottom w:w="100" w:type="dxa"/>
              <w:right w:w="110" w:type="dxa"/>
            </w:tcMar>
            <w:vAlign w:val="center"/>
          </w:tcPr>
          <w:p w14:paraId="1BC2972D"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14</w:t>
            </w:r>
          </w:p>
        </w:tc>
        <w:tc>
          <w:tcPr>
            <w:tcW w:w="4320" w:type="dxa"/>
            <w:tcMar>
              <w:top w:w="100" w:type="dxa"/>
              <w:left w:w="110" w:type="dxa"/>
              <w:bottom w:w="100" w:type="dxa"/>
              <w:right w:w="110" w:type="dxa"/>
            </w:tcMar>
            <w:vAlign w:val="center"/>
          </w:tcPr>
          <w:p w14:paraId="132E49C1"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P01 P02 P03 P04 P05 P06 P07 P08 P09 P10 P11 P13 P14 P15</w:t>
            </w:r>
          </w:p>
        </w:tc>
      </w:tr>
      <w:tr w:rsidR="002334FE" w:rsidRPr="000D08DE" w14:paraId="01103286" w14:textId="77777777">
        <w:trPr>
          <w:cantSplit/>
          <w:jc w:val="center"/>
        </w:trPr>
        <w:tc>
          <w:tcPr>
            <w:tcW w:w="749" w:type="dxa"/>
            <w:shd w:val="clear" w:color="auto" w:fill="F3F4F6"/>
            <w:tcMar>
              <w:top w:w="100" w:type="dxa"/>
              <w:left w:w="110" w:type="dxa"/>
              <w:bottom w:w="100" w:type="dxa"/>
              <w:right w:w="110" w:type="dxa"/>
            </w:tcMar>
            <w:vAlign w:val="center"/>
          </w:tcPr>
          <w:p w14:paraId="5B0CB006"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B2</w:t>
            </w:r>
          </w:p>
        </w:tc>
        <w:tc>
          <w:tcPr>
            <w:tcW w:w="3672" w:type="dxa"/>
            <w:shd w:val="clear" w:color="auto" w:fill="F3F4F6"/>
            <w:tcMar>
              <w:top w:w="100" w:type="dxa"/>
              <w:left w:w="110" w:type="dxa"/>
              <w:bottom w:w="100" w:type="dxa"/>
              <w:right w:w="110" w:type="dxa"/>
            </w:tcMar>
            <w:vAlign w:val="center"/>
          </w:tcPr>
          <w:p w14:paraId="10C9BB69"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Obecność relacyjna</w:t>
            </w:r>
          </w:p>
        </w:tc>
        <w:tc>
          <w:tcPr>
            <w:tcW w:w="1512" w:type="dxa"/>
            <w:shd w:val="clear" w:color="auto" w:fill="F3F4F6"/>
            <w:tcMar>
              <w:top w:w="100" w:type="dxa"/>
              <w:left w:w="110" w:type="dxa"/>
              <w:bottom w:w="100" w:type="dxa"/>
              <w:right w:w="110" w:type="dxa"/>
            </w:tcMar>
            <w:vAlign w:val="center"/>
          </w:tcPr>
          <w:p w14:paraId="26276DD5"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8</w:t>
            </w:r>
          </w:p>
        </w:tc>
        <w:tc>
          <w:tcPr>
            <w:tcW w:w="4320" w:type="dxa"/>
            <w:shd w:val="clear" w:color="auto" w:fill="F3F4F6"/>
            <w:tcMar>
              <w:top w:w="100" w:type="dxa"/>
              <w:left w:w="110" w:type="dxa"/>
              <w:bottom w:w="100" w:type="dxa"/>
              <w:right w:w="110" w:type="dxa"/>
            </w:tcMar>
            <w:vAlign w:val="center"/>
          </w:tcPr>
          <w:p w14:paraId="51AD512E"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P01 P02 P07 P11 P12 P13 P14 P15</w:t>
            </w:r>
          </w:p>
        </w:tc>
      </w:tr>
      <w:tr w:rsidR="002334FE" w:rsidRPr="000D08DE" w14:paraId="55616A1C" w14:textId="77777777">
        <w:trPr>
          <w:cantSplit/>
          <w:jc w:val="center"/>
        </w:trPr>
        <w:tc>
          <w:tcPr>
            <w:tcW w:w="749" w:type="dxa"/>
            <w:tcMar>
              <w:top w:w="100" w:type="dxa"/>
              <w:left w:w="110" w:type="dxa"/>
              <w:bottom w:w="100" w:type="dxa"/>
              <w:right w:w="110" w:type="dxa"/>
            </w:tcMar>
            <w:vAlign w:val="center"/>
          </w:tcPr>
          <w:p w14:paraId="656EE5DD"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B3</w:t>
            </w:r>
          </w:p>
        </w:tc>
        <w:tc>
          <w:tcPr>
            <w:tcW w:w="3672" w:type="dxa"/>
            <w:tcMar>
              <w:top w:w="100" w:type="dxa"/>
              <w:left w:w="110" w:type="dxa"/>
              <w:bottom w:w="100" w:type="dxa"/>
              <w:right w:w="110" w:type="dxa"/>
            </w:tcMar>
            <w:vAlign w:val="center"/>
          </w:tcPr>
          <w:p w14:paraId="6A754F69"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Kobieta jako samodzielna twórczyni</w:t>
            </w:r>
          </w:p>
        </w:tc>
        <w:tc>
          <w:tcPr>
            <w:tcW w:w="1512" w:type="dxa"/>
            <w:tcMar>
              <w:top w:w="100" w:type="dxa"/>
              <w:left w:w="110" w:type="dxa"/>
              <w:bottom w:w="100" w:type="dxa"/>
              <w:right w:w="110" w:type="dxa"/>
            </w:tcMar>
            <w:vAlign w:val="center"/>
          </w:tcPr>
          <w:p w14:paraId="31746BAD"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12</w:t>
            </w:r>
          </w:p>
        </w:tc>
        <w:tc>
          <w:tcPr>
            <w:tcW w:w="4320" w:type="dxa"/>
            <w:tcMar>
              <w:top w:w="100" w:type="dxa"/>
              <w:left w:w="110" w:type="dxa"/>
              <w:bottom w:w="100" w:type="dxa"/>
              <w:right w:w="110" w:type="dxa"/>
            </w:tcMar>
            <w:vAlign w:val="center"/>
          </w:tcPr>
          <w:p w14:paraId="5A53A157"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P02 P03 P04 P06 P07 P08 P09 P10 P11 P12 P13 P15</w:t>
            </w:r>
          </w:p>
        </w:tc>
      </w:tr>
      <w:tr w:rsidR="002334FE" w:rsidRPr="000D08DE" w14:paraId="6659AD79" w14:textId="77777777">
        <w:trPr>
          <w:cantSplit/>
          <w:jc w:val="center"/>
        </w:trPr>
        <w:tc>
          <w:tcPr>
            <w:tcW w:w="749" w:type="dxa"/>
            <w:shd w:val="clear" w:color="auto" w:fill="F3F4F6"/>
            <w:tcMar>
              <w:top w:w="100" w:type="dxa"/>
              <w:left w:w="110" w:type="dxa"/>
              <w:bottom w:w="100" w:type="dxa"/>
              <w:right w:w="110" w:type="dxa"/>
            </w:tcMar>
            <w:vAlign w:val="center"/>
          </w:tcPr>
          <w:p w14:paraId="15309668"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B4</w:t>
            </w:r>
          </w:p>
        </w:tc>
        <w:tc>
          <w:tcPr>
            <w:tcW w:w="3672" w:type="dxa"/>
            <w:shd w:val="clear" w:color="auto" w:fill="F3F4F6"/>
            <w:tcMar>
              <w:top w:w="100" w:type="dxa"/>
              <w:left w:w="110" w:type="dxa"/>
              <w:bottom w:w="100" w:type="dxa"/>
              <w:right w:w="110" w:type="dxa"/>
            </w:tcMar>
            <w:vAlign w:val="center"/>
          </w:tcPr>
          <w:p w14:paraId="0406CC48"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Feminizm jako osobny blok tematyczny</w:t>
            </w:r>
          </w:p>
        </w:tc>
        <w:tc>
          <w:tcPr>
            <w:tcW w:w="1512" w:type="dxa"/>
            <w:shd w:val="clear" w:color="auto" w:fill="F3F4F6"/>
            <w:tcMar>
              <w:top w:w="100" w:type="dxa"/>
              <w:left w:w="110" w:type="dxa"/>
              <w:bottom w:w="100" w:type="dxa"/>
              <w:right w:w="110" w:type="dxa"/>
            </w:tcMar>
            <w:vAlign w:val="center"/>
          </w:tcPr>
          <w:p w14:paraId="13D797FD"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6</w:t>
            </w:r>
          </w:p>
        </w:tc>
        <w:tc>
          <w:tcPr>
            <w:tcW w:w="4320" w:type="dxa"/>
            <w:shd w:val="clear" w:color="auto" w:fill="F3F4F6"/>
            <w:tcMar>
              <w:top w:w="100" w:type="dxa"/>
              <w:left w:w="110" w:type="dxa"/>
              <w:bottom w:w="100" w:type="dxa"/>
              <w:right w:w="110" w:type="dxa"/>
            </w:tcMar>
            <w:vAlign w:val="center"/>
          </w:tcPr>
          <w:p w14:paraId="50EE705E"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P03 P06 P07 P08 P10 P13</w:t>
            </w:r>
          </w:p>
        </w:tc>
      </w:tr>
      <w:tr w:rsidR="002334FE" w:rsidRPr="000D08DE" w14:paraId="52AFE963" w14:textId="77777777">
        <w:trPr>
          <w:cantSplit/>
          <w:jc w:val="center"/>
        </w:trPr>
        <w:tc>
          <w:tcPr>
            <w:tcW w:w="749" w:type="dxa"/>
            <w:tcMar>
              <w:top w:w="100" w:type="dxa"/>
              <w:left w:w="110" w:type="dxa"/>
              <w:bottom w:w="100" w:type="dxa"/>
              <w:right w:w="110" w:type="dxa"/>
            </w:tcMar>
            <w:vAlign w:val="center"/>
          </w:tcPr>
          <w:p w14:paraId="1960E74E"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B5</w:t>
            </w:r>
          </w:p>
        </w:tc>
        <w:tc>
          <w:tcPr>
            <w:tcW w:w="3672" w:type="dxa"/>
            <w:tcMar>
              <w:top w:w="100" w:type="dxa"/>
              <w:left w:w="110" w:type="dxa"/>
              <w:bottom w:w="100" w:type="dxa"/>
              <w:right w:w="110" w:type="dxa"/>
            </w:tcMar>
            <w:vAlign w:val="center"/>
          </w:tcPr>
          <w:p w14:paraId="359667D7"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Kobiety jako przedmiot idei</w:t>
            </w:r>
          </w:p>
        </w:tc>
        <w:tc>
          <w:tcPr>
            <w:tcW w:w="1512" w:type="dxa"/>
            <w:tcMar>
              <w:top w:w="100" w:type="dxa"/>
              <w:left w:w="110" w:type="dxa"/>
              <w:bottom w:w="100" w:type="dxa"/>
              <w:right w:w="110" w:type="dxa"/>
            </w:tcMar>
            <w:vAlign w:val="center"/>
          </w:tcPr>
          <w:p w14:paraId="661A680A"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8</w:t>
            </w:r>
          </w:p>
        </w:tc>
        <w:tc>
          <w:tcPr>
            <w:tcW w:w="4320" w:type="dxa"/>
            <w:tcMar>
              <w:top w:w="100" w:type="dxa"/>
              <w:left w:w="110" w:type="dxa"/>
              <w:bottom w:w="100" w:type="dxa"/>
              <w:right w:w="110" w:type="dxa"/>
            </w:tcMar>
            <w:vAlign w:val="center"/>
          </w:tcPr>
          <w:p w14:paraId="1E1625AC"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P01 P05 P06 P07 P09 P10 P11 P13</w:t>
            </w:r>
          </w:p>
        </w:tc>
      </w:tr>
      <w:tr w:rsidR="002334FE" w:rsidRPr="000D08DE" w14:paraId="5395A5B6" w14:textId="77777777">
        <w:trPr>
          <w:cantSplit/>
          <w:jc w:val="center"/>
        </w:trPr>
        <w:tc>
          <w:tcPr>
            <w:tcW w:w="749" w:type="dxa"/>
            <w:shd w:val="clear" w:color="auto" w:fill="F3F4F6"/>
            <w:tcMar>
              <w:top w:w="100" w:type="dxa"/>
              <w:left w:w="110" w:type="dxa"/>
              <w:bottom w:w="100" w:type="dxa"/>
              <w:right w:w="110" w:type="dxa"/>
            </w:tcMar>
            <w:vAlign w:val="center"/>
          </w:tcPr>
          <w:p w14:paraId="419953C1"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C1</w:t>
            </w:r>
          </w:p>
        </w:tc>
        <w:tc>
          <w:tcPr>
            <w:tcW w:w="3672" w:type="dxa"/>
            <w:shd w:val="clear" w:color="auto" w:fill="F3F4F6"/>
            <w:tcMar>
              <w:top w:w="100" w:type="dxa"/>
              <w:left w:w="110" w:type="dxa"/>
              <w:bottom w:w="100" w:type="dxa"/>
              <w:right w:w="110" w:type="dxa"/>
            </w:tcMar>
            <w:vAlign w:val="center"/>
          </w:tcPr>
          <w:p w14:paraId="322EF652"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Historyczne mechanizmy wykluczenia</w:t>
            </w:r>
          </w:p>
        </w:tc>
        <w:tc>
          <w:tcPr>
            <w:tcW w:w="1512" w:type="dxa"/>
            <w:shd w:val="clear" w:color="auto" w:fill="F3F4F6"/>
            <w:tcMar>
              <w:top w:w="100" w:type="dxa"/>
              <w:left w:w="110" w:type="dxa"/>
              <w:bottom w:w="100" w:type="dxa"/>
              <w:right w:w="110" w:type="dxa"/>
            </w:tcMar>
            <w:vAlign w:val="center"/>
          </w:tcPr>
          <w:p w14:paraId="4EAC6E25"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13</w:t>
            </w:r>
          </w:p>
        </w:tc>
        <w:tc>
          <w:tcPr>
            <w:tcW w:w="4320" w:type="dxa"/>
            <w:shd w:val="clear" w:color="auto" w:fill="F3F4F6"/>
            <w:tcMar>
              <w:top w:w="100" w:type="dxa"/>
              <w:left w:w="110" w:type="dxa"/>
              <w:bottom w:w="100" w:type="dxa"/>
              <w:right w:w="110" w:type="dxa"/>
            </w:tcMar>
            <w:vAlign w:val="center"/>
          </w:tcPr>
          <w:p w14:paraId="480A70C9"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P01 P02 P03 P04 P05 P07 P08 P09 P10 P11 P13 P14 P15</w:t>
            </w:r>
          </w:p>
        </w:tc>
      </w:tr>
      <w:tr w:rsidR="002334FE" w:rsidRPr="000D08DE" w14:paraId="67ABDE9B" w14:textId="77777777">
        <w:trPr>
          <w:cantSplit/>
          <w:jc w:val="center"/>
        </w:trPr>
        <w:tc>
          <w:tcPr>
            <w:tcW w:w="749" w:type="dxa"/>
            <w:tcMar>
              <w:top w:w="100" w:type="dxa"/>
              <w:left w:w="110" w:type="dxa"/>
              <w:bottom w:w="100" w:type="dxa"/>
              <w:right w:w="110" w:type="dxa"/>
            </w:tcMar>
            <w:vAlign w:val="center"/>
          </w:tcPr>
          <w:p w14:paraId="2F031707"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C2</w:t>
            </w:r>
          </w:p>
        </w:tc>
        <w:tc>
          <w:tcPr>
            <w:tcW w:w="3672" w:type="dxa"/>
            <w:tcMar>
              <w:top w:w="100" w:type="dxa"/>
              <w:left w:w="110" w:type="dxa"/>
              <w:bottom w:w="100" w:type="dxa"/>
              <w:right w:w="110" w:type="dxa"/>
            </w:tcMar>
            <w:vAlign w:val="center"/>
          </w:tcPr>
          <w:p w14:paraId="24972E34"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Narracja niedoboru i neutralność płciowa</w:t>
            </w:r>
          </w:p>
        </w:tc>
        <w:tc>
          <w:tcPr>
            <w:tcW w:w="1512" w:type="dxa"/>
            <w:tcMar>
              <w:top w:w="100" w:type="dxa"/>
              <w:left w:w="110" w:type="dxa"/>
              <w:bottom w:w="100" w:type="dxa"/>
              <w:right w:w="110" w:type="dxa"/>
            </w:tcMar>
            <w:vAlign w:val="center"/>
          </w:tcPr>
          <w:p w14:paraId="56D43F61"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11</w:t>
            </w:r>
          </w:p>
        </w:tc>
        <w:tc>
          <w:tcPr>
            <w:tcW w:w="4320" w:type="dxa"/>
            <w:tcMar>
              <w:top w:w="100" w:type="dxa"/>
              <w:left w:w="110" w:type="dxa"/>
              <w:bottom w:w="100" w:type="dxa"/>
              <w:right w:w="110" w:type="dxa"/>
            </w:tcMar>
            <w:vAlign w:val="center"/>
          </w:tcPr>
          <w:p w14:paraId="279058D0"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P03 P04 P05 P06 P08 P09 P10 P12 P13 P14 P15</w:t>
            </w:r>
          </w:p>
        </w:tc>
      </w:tr>
      <w:tr w:rsidR="002334FE" w:rsidRPr="000D08DE" w14:paraId="4C81C6D0" w14:textId="77777777">
        <w:trPr>
          <w:cantSplit/>
          <w:jc w:val="center"/>
        </w:trPr>
        <w:tc>
          <w:tcPr>
            <w:tcW w:w="749" w:type="dxa"/>
            <w:shd w:val="clear" w:color="auto" w:fill="F3F4F6"/>
            <w:tcMar>
              <w:top w:w="100" w:type="dxa"/>
              <w:left w:w="110" w:type="dxa"/>
              <w:bottom w:w="100" w:type="dxa"/>
              <w:right w:w="110" w:type="dxa"/>
            </w:tcMar>
            <w:vAlign w:val="center"/>
          </w:tcPr>
          <w:p w14:paraId="4787BF3E"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C3</w:t>
            </w:r>
          </w:p>
        </w:tc>
        <w:tc>
          <w:tcPr>
            <w:tcW w:w="3672" w:type="dxa"/>
            <w:shd w:val="clear" w:color="auto" w:fill="F3F4F6"/>
            <w:tcMar>
              <w:top w:w="100" w:type="dxa"/>
              <w:left w:w="110" w:type="dxa"/>
              <w:bottom w:w="100" w:type="dxa"/>
              <w:right w:w="110" w:type="dxa"/>
            </w:tcMar>
            <w:vAlign w:val="center"/>
          </w:tcPr>
          <w:p w14:paraId="3DC08CAF"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Bariery środowiskowe</w:t>
            </w:r>
          </w:p>
        </w:tc>
        <w:tc>
          <w:tcPr>
            <w:tcW w:w="1512" w:type="dxa"/>
            <w:shd w:val="clear" w:color="auto" w:fill="F3F4F6"/>
            <w:tcMar>
              <w:top w:w="100" w:type="dxa"/>
              <w:left w:w="110" w:type="dxa"/>
              <w:bottom w:w="100" w:type="dxa"/>
              <w:right w:w="110" w:type="dxa"/>
            </w:tcMar>
            <w:vAlign w:val="center"/>
          </w:tcPr>
          <w:p w14:paraId="1EE1E347"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4</w:t>
            </w:r>
          </w:p>
        </w:tc>
        <w:tc>
          <w:tcPr>
            <w:tcW w:w="4320" w:type="dxa"/>
            <w:shd w:val="clear" w:color="auto" w:fill="F3F4F6"/>
            <w:tcMar>
              <w:top w:w="100" w:type="dxa"/>
              <w:left w:w="110" w:type="dxa"/>
              <w:bottom w:w="100" w:type="dxa"/>
              <w:right w:w="110" w:type="dxa"/>
            </w:tcMar>
            <w:vAlign w:val="center"/>
          </w:tcPr>
          <w:p w14:paraId="5AD8DC21"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P07 P08 P10 P11</w:t>
            </w:r>
          </w:p>
        </w:tc>
      </w:tr>
      <w:tr w:rsidR="002334FE" w:rsidRPr="000D08DE" w14:paraId="4A6F198F" w14:textId="77777777">
        <w:trPr>
          <w:cantSplit/>
          <w:jc w:val="center"/>
        </w:trPr>
        <w:tc>
          <w:tcPr>
            <w:tcW w:w="749" w:type="dxa"/>
            <w:tcMar>
              <w:top w:w="100" w:type="dxa"/>
              <w:left w:w="110" w:type="dxa"/>
              <w:bottom w:w="100" w:type="dxa"/>
              <w:right w:w="110" w:type="dxa"/>
            </w:tcMar>
            <w:vAlign w:val="center"/>
          </w:tcPr>
          <w:p w14:paraId="29B4F7D3"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C4</w:t>
            </w:r>
          </w:p>
        </w:tc>
        <w:tc>
          <w:tcPr>
            <w:tcW w:w="3672" w:type="dxa"/>
            <w:tcMar>
              <w:top w:w="100" w:type="dxa"/>
              <w:left w:w="110" w:type="dxa"/>
              <w:bottom w:w="100" w:type="dxa"/>
              <w:right w:w="110" w:type="dxa"/>
            </w:tcMar>
            <w:vAlign w:val="center"/>
          </w:tcPr>
          <w:p w14:paraId="1E942076"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Brak opracowań i materiałów</w:t>
            </w:r>
          </w:p>
        </w:tc>
        <w:tc>
          <w:tcPr>
            <w:tcW w:w="1512" w:type="dxa"/>
            <w:tcMar>
              <w:top w:w="100" w:type="dxa"/>
              <w:left w:w="110" w:type="dxa"/>
              <w:bottom w:w="100" w:type="dxa"/>
              <w:right w:w="110" w:type="dxa"/>
            </w:tcMar>
            <w:vAlign w:val="center"/>
          </w:tcPr>
          <w:p w14:paraId="33AE1B4C"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8</w:t>
            </w:r>
          </w:p>
        </w:tc>
        <w:tc>
          <w:tcPr>
            <w:tcW w:w="4320" w:type="dxa"/>
            <w:tcMar>
              <w:top w:w="100" w:type="dxa"/>
              <w:left w:w="110" w:type="dxa"/>
              <w:bottom w:w="100" w:type="dxa"/>
              <w:right w:w="110" w:type="dxa"/>
            </w:tcMar>
            <w:vAlign w:val="center"/>
          </w:tcPr>
          <w:p w14:paraId="3959F093"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P01 P02 P04 P05 P07 P09 P11 P14</w:t>
            </w:r>
          </w:p>
        </w:tc>
      </w:tr>
      <w:tr w:rsidR="002334FE" w:rsidRPr="000D08DE" w14:paraId="31537605" w14:textId="77777777">
        <w:trPr>
          <w:cantSplit/>
          <w:jc w:val="center"/>
        </w:trPr>
        <w:tc>
          <w:tcPr>
            <w:tcW w:w="749" w:type="dxa"/>
            <w:shd w:val="clear" w:color="auto" w:fill="F3F4F6"/>
            <w:tcMar>
              <w:top w:w="100" w:type="dxa"/>
              <w:left w:w="110" w:type="dxa"/>
              <w:bottom w:w="100" w:type="dxa"/>
              <w:right w:w="110" w:type="dxa"/>
            </w:tcMar>
            <w:vAlign w:val="center"/>
          </w:tcPr>
          <w:p w14:paraId="23345AD8"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D1</w:t>
            </w:r>
          </w:p>
        </w:tc>
        <w:tc>
          <w:tcPr>
            <w:tcW w:w="3672" w:type="dxa"/>
            <w:shd w:val="clear" w:color="auto" w:fill="F3F4F6"/>
            <w:tcMar>
              <w:top w:w="100" w:type="dxa"/>
              <w:left w:w="110" w:type="dxa"/>
              <w:bottom w:w="100" w:type="dxa"/>
              <w:right w:w="110" w:type="dxa"/>
            </w:tcMar>
            <w:vAlign w:val="center"/>
          </w:tcPr>
          <w:p w14:paraId="2A8DC66B"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Podręcznik jako kotwica kanonu</w:t>
            </w:r>
          </w:p>
        </w:tc>
        <w:tc>
          <w:tcPr>
            <w:tcW w:w="1512" w:type="dxa"/>
            <w:shd w:val="clear" w:color="auto" w:fill="F3F4F6"/>
            <w:tcMar>
              <w:top w:w="100" w:type="dxa"/>
              <w:left w:w="110" w:type="dxa"/>
              <w:bottom w:w="100" w:type="dxa"/>
              <w:right w:w="110" w:type="dxa"/>
            </w:tcMar>
            <w:vAlign w:val="center"/>
          </w:tcPr>
          <w:p w14:paraId="1C01C852"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12</w:t>
            </w:r>
          </w:p>
        </w:tc>
        <w:tc>
          <w:tcPr>
            <w:tcW w:w="4320" w:type="dxa"/>
            <w:shd w:val="clear" w:color="auto" w:fill="F3F4F6"/>
            <w:tcMar>
              <w:top w:w="100" w:type="dxa"/>
              <w:left w:w="110" w:type="dxa"/>
              <w:bottom w:w="100" w:type="dxa"/>
              <w:right w:w="110" w:type="dxa"/>
            </w:tcMar>
            <w:vAlign w:val="center"/>
          </w:tcPr>
          <w:p w14:paraId="0B6EB647"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P01 P02 P03 P04 P05 P06 P07 P08 P09 P11 P13 P14</w:t>
            </w:r>
          </w:p>
        </w:tc>
      </w:tr>
      <w:tr w:rsidR="002334FE" w:rsidRPr="000D08DE" w14:paraId="5FA2CEF2" w14:textId="77777777">
        <w:trPr>
          <w:cantSplit/>
          <w:jc w:val="center"/>
        </w:trPr>
        <w:tc>
          <w:tcPr>
            <w:tcW w:w="749" w:type="dxa"/>
            <w:tcMar>
              <w:top w:w="100" w:type="dxa"/>
              <w:left w:w="110" w:type="dxa"/>
              <w:bottom w:w="100" w:type="dxa"/>
              <w:right w:w="110" w:type="dxa"/>
            </w:tcMar>
            <w:vAlign w:val="center"/>
          </w:tcPr>
          <w:p w14:paraId="69E36871"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D2</w:t>
            </w:r>
          </w:p>
        </w:tc>
        <w:tc>
          <w:tcPr>
            <w:tcW w:w="3672" w:type="dxa"/>
            <w:tcMar>
              <w:top w:w="100" w:type="dxa"/>
              <w:left w:w="110" w:type="dxa"/>
              <w:bottom w:w="100" w:type="dxa"/>
              <w:right w:w="110" w:type="dxa"/>
            </w:tcMar>
            <w:vAlign w:val="center"/>
          </w:tcPr>
          <w:p w14:paraId="542AB3F5"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Materiały autorskie i źródłowe</w:t>
            </w:r>
          </w:p>
        </w:tc>
        <w:tc>
          <w:tcPr>
            <w:tcW w:w="1512" w:type="dxa"/>
            <w:tcMar>
              <w:top w:w="100" w:type="dxa"/>
              <w:left w:w="110" w:type="dxa"/>
              <w:bottom w:w="100" w:type="dxa"/>
              <w:right w:w="110" w:type="dxa"/>
            </w:tcMar>
            <w:vAlign w:val="center"/>
          </w:tcPr>
          <w:p w14:paraId="05468FFB"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12</w:t>
            </w:r>
          </w:p>
        </w:tc>
        <w:tc>
          <w:tcPr>
            <w:tcW w:w="4320" w:type="dxa"/>
            <w:tcMar>
              <w:top w:w="100" w:type="dxa"/>
              <w:left w:w="110" w:type="dxa"/>
              <w:bottom w:w="100" w:type="dxa"/>
              <w:right w:w="110" w:type="dxa"/>
            </w:tcMar>
            <w:vAlign w:val="center"/>
          </w:tcPr>
          <w:p w14:paraId="7F0E38B7"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P01 P02 P04 P05 P06 P07 P09 P10 P11 P12 P13 P14</w:t>
            </w:r>
          </w:p>
        </w:tc>
      </w:tr>
      <w:tr w:rsidR="002334FE" w:rsidRPr="000D08DE" w14:paraId="4C285D33" w14:textId="77777777">
        <w:trPr>
          <w:cantSplit/>
          <w:jc w:val="center"/>
        </w:trPr>
        <w:tc>
          <w:tcPr>
            <w:tcW w:w="749" w:type="dxa"/>
            <w:shd w:val="clear" w:color="auto" w:fill="F3F4F6"/>
            <w:tcMar>
              <w:top w:w="100" w:type="dxa"/>
              <w:left w:w="110" w:type="dxa"/>
              <w:bottom w:w="100" w:type="dxa"/>
              <w:right w:w="110" w:type="dxa"/>
            </w:tcMar>
            <w:vAlign w:val="center"/>
          </w:tcPr>
          <w:p w14:paraId="03EA0D88"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E1</w:t>
            </w:r>
          </w:p>
        </w:tc>
        <w:tc>
          <w:tcPr>
            <w:tcW w:w="3672" w:type="dxa"/>
            <w:shd w:val="clear" w:color="auto" w:fill="F3F4F6"/>
            <w:tcMar>
              <w:top w:w="100" w:type="dxa"/>
              <w:left w:w="110" w:type="dxa"/>
              <w:bottom w:w="100" w:type="dxa"/>
              <w:right w:w="110" w:type="dxa"/>
            </w:tcMar>
            <w:vAlign w:val="center"/>
          </w:tcPr>
          <w:p w14:paraId="4515D84C"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Zmiana ewolucyjna lub problemowa</w:t>
            </w:r>
          </w:p>
        </w:tc>
        <w:tc>
          <w:tcPr>
            <w:tcW w:w="1512" w:type="dxa"/>
            <w:shd w:val="clear" w:color="auto" w:fill="F3F4F6"/>
            <w:tcMar>
              <w:top w:w="100" w:type="dxa"/>
              <w:left w:w="110" w:type="dxa"/>
              <w:bottom w:w="100" w:type="dxa"/>
              <w:right w:w="110" w:type="dxa"/>
            </w:tcMar>
            <w:vAlign w:val="center"/>
          </w:tcPr>
          <w:p w14:paraId="7217B6CB"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14</w:t>
            </w:r>
          </w:p>
        </w:tc>
        <w:tc>
          <w:tcPr>
            <w:tcW w:w="4320" w:type="dxa"/>
            <w:shd w:val="clear" w:color="auto" w:fill="F3F4F6"/>
            <w:tcMar>
              <w:top w:w="100" w:type="dxa"/>
              <w:left w:w="110" w:type="dxa"/>
              <w:bottom w:w="100" w:type="dxa"/>
              <w:right w:w="110" w:type="dxa"/>
            </w:tcMar>
            <w:vAlign w:val="center"/>
          </w:tcPr>
          <w:p w14:paraId="12CC8C20"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P01 P02 P03 P04 P05 P06 P07 P08 P09 P10 P11 P13 P14 P15</w:t>
            </w:r>
          </w:p>
        </w:tc>
      </w:tr>
      <w:tr w:rsidR="002334FE" w:rsidRPr="000D08DE" w14:paraId="727AB574" w14:textId="77777777">
        <w:trPr>
          <w:cantSplit/>
          <w:jc w:val="center"/>
        </w:trPr>
        <w:tc>
          <w:tcPr>
            <w:tcW w:w="749" w:type="dxa"/>
            <w:tcMar>
              <w:top w:w="100" w:type="dxa"/>
              <w:left w:w="110" w:type="dxa"/>
              <w:bottom w:w="100" w:type="dxa"/>
              <w:right w:w="110" w:type="dxa"/>
            </w:tcMar>
            <w:vAlign w:val="center"/>
          </w:tcPr>
          <w:p w14:paraId="438C427F"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E2</w:t>
            </w:r>
          </w:p>
        </w:tc>
        <w:tc>
          <w:tcPr>
            <w:tcW w:w="3672" w:type="dxa"/>
            <w:tcMar>
              <w:top w:w="100" w:type="dxa"/>
              <w:left w:w="110" w:type="dxa"/>
              <w:bottom w:w="100" w:type="dxa"/>
              <w:right w:w="110" w:type="dxa"/>
            </w:tcMar>
            <w:vAlign w:val="center"/>
          </w:tcPr>
          <w:p w14:paraId="76DFDB39"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Obawa przed parytetem i prezentyzmem</w:t>
            </w:r>
          </w:p>
        </w:tc>
        <w:tc>
          <w:tcPr>
            <w:tcW w:w="1512" w:type="dxa"/>
            <w:tcMar>
              <w:top w:w="100" w:type="dxa"/>
              <w:left w:w="110" w:type="dxa"/>
              <w:bottom w:w="100" w:type="dxa"/>
              <w:right w:w="110" w:type="dxa"/>
            </w:tcMar>
            <w:vAlign w:val="center"/>
          </w:tcPr>
          <w:p w14:paraId="04EA18CA"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9</w:t>
            </w:r>
          </w:p>
        </w:tc>
        <w:tc>
          <w:tcPr>
            <w:tcW w:w="4320" w:type="dxa"/>
            <w:tcMar>
              <w:top w:w="100" w:type="dxa"/>
              <w:left w:w="110" w:type="dxa"/>
              <w:bottom w:w="100" w:type="dxa"/>
              <w:right w:w="110" w:type="dxa"/>
            </w:tcMar>
            <w:vAlign w:val="center"/>
          </w:tcPr>
          <w:p w14:paraId="23C5B342"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P01 P02 P03 P06 P09 P10 P11 P12 P13</w:t>
            </w:r>
          </w:p>
        </w:tc>
      </w:tr>
      <w:tr w:rsidR="002334FE" w:rsidRPr="000D08DE" w14:paraId="620462E0" w14:textId="77777777">
        <w:trPr>
          <w:cantSplit/>
          <w:jc w:val="center"/>
        </w:trPr>
        <w:tc>
          <w:tcPr>
            <w:tcW w:w="749" w:type="dxa"/>
            <w:shd w:val="clear" w:color="auto" w:fill="F3F4F6"/>
            <w:tcMar>
              <w:top w:w="100" w:type="dxa"/>
              <w:left w:w="110" w:type="dxa"/>
              <w:bottom w:w="100" w:type="dxa"/>
              <w:right w:w="110" w:type="dxa"/>
            </w:tcMar>
            <w:vAlign w:val="center"/>
          </w:tcPr>
          <w:p w14:paraId="6890121B"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E3</w:t>
            </w:r>
          </w:p>
        </w:tc>
        <w:tc>
          <w:tcPr>
            <w:tcW w:w="3672" w:type="dxa"/>
            <w:shd w:val="clear" w:color="auto" w:fill="F3F4F6"/>
            <w:tcMar>
              <w:top w:w="100" w:type="dxa"/>
              <w:left w:w="110" w:type="dxa"/>
              <w:bottom w:w="100" w:type="dxa"/>
              <w:right w:w="110" w:type="dxa"/>
            </w:tcMar>
            <w:vAlign w:val="center"/>
          </w:tcPr>
          <w:p w14:paraId="7A139675"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Wywiad jako impuls refleksyjny</w:t>
            </w:r>
          </w:p>
        </w:tc>
        <w:tc>
          <w:tcPr>
            <w:tcW w:w="1512" w:type="dxa"/>
            <w:shd w:val="clear" w:color="auto" w:fill="F3F4F6"/>
            <w:tcMar>
              <w:top w:w="100" w:type="dxa"/>
              <w:left w:w="110" w:type="dxa"/>
              <w:bottom w:w="100" w:type="dxa"/>
              <w:right w:w="110" w:type="dxa"/>
            </w:tcMar>
            <w:vAlign w:val="center"/>
          </w:tcPr>
          <w:p w14:paraId="5C8001FC"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6</w:t>
            </w:r>
          </w:p>
        </w:tc>
        <w:tc>
          <w:tcPr>
            <w:tcW w:w="4320" w:type="dxa"/>
            <w:shd w:val="clear" w:color="auto" w:fill="F3F4F6"/>
            <w:tcMar>
              <w:top w:w="100" w:type="dxa"/>
              <w:left w:w="110" w:type="dxa"/>
              <w:bottom w:w="100" w:type="dxa"/>
              <w:right w:w="110" w:type="dxa"/>
            </w:tcMar>
            <w:vAlign w:val="center"/>
          </w:tcPr>
          <w:p w14:paraId="35D90793"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P03 P05 P09 P10 P14 P15</w:t>
            </w:r>
          </w:p>
        </w:tc>
      </w:tr>
      <w:tr w:rsidR="002334FE" w:rsidRPr="000D08DE" w14:paraId="51270719" w14:textId="77777777">
        <w:trPr>
          <w:cantSplit/>
          <w:jc w:val="center"/>
        </w:trPr>
        <w:tc>
          <w:tcPr>
            <w:tcW w:w="749" w:type="dxa"/>
            <w:tcMar>
              <w:top w:w="100" w:type="dxa"/>
              <w:left w:w="110" w:type="dxa"/>
              <w:bottom w:w="100" w:type="dxa"/>
              <w:right w:w="110" w:type="dxa"/>
            </w:tcMar>
            <w:vAlign w:val="center"/>
          </w:tcPr>
          <w:p w14:paraId="5D52085C"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E4</w:t>
            </w:r>
          </w:p>
        </w:tc>
        <w:tc>
          <w:tcPr>
            <w:tcW w:w="3672" w:type="dxa"/>
            <w:tcMar>
              <w:top w:w="100" w:type="dxa"/>
              <w:left w:w="110" w:type="dxa"/>
              <w:bottom w:w="100" w:type="dxa"/>
              <w:right w:w="110" w:type="dxa"/>
            </w:tcMar>
            <w:vAlign w:val="center"/>
          </w:tcPr>
          <w:p w14:paraId="2F179B39"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Zapotrzebowanie studenckie</w:t>
            </w:r>
          </w:p>
        </w:tc>
        <w:tc>
          <w:tcPr>
            <w:tcW w:w="1512" w:type="dxa"/>
            <w:tcMar>
              <w:top w:w="100" w:type="dxa"/>
              <w:left w:w="110" w:type="dxa"/>
              <w:bottom w:w="100" w:type="dxa"/>
              <w:right w:w="110" w:type="dxa"/>
            </w:tcMar>
            <w:vAlign w:val="center"/>
          </w:tcPr>
          <w:p w14:paraId="37AA9F77"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6</w:t>
            </w:r>
          </w:p>
        </w:tc>
        <w:tc>
          <w:tcPr>
            <w:tcW w:w="4320" w:type="dxa"/>
            <w:tcMar>
              <w:top w:w="100" w:type="dxa"/>
              <w:left w:w="110" w:type="dxa"/>
              <w:bottom w:w="100" w:type="dxa"/>
              <w:right w:w="110" w:type="dxa"/>
            </w:tcMar>
            <w:vAlign w:val="center"/>
          </w:tcPr>
          <w:p w14:paraId="27B47631"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P02 P03 P05 P06 P07 P13</w:t>
            </w:r>
          </w:p>
        </w:tc>
      </w:tr>
      <w:tr w:rsidR="002334FE" w:rsidRPr="000D08DE" w14:paraId="35F01480" w14:textId="77777777">
        <w:trPr>
          <w:cantSplit/>
          <w:jc w:val="center"/>
        </w:trPr>
        <w:tc>
          <w:tcPr>
            <w:tcW w:w="749" w:type="dxa"/>
            <w:shd w:val="clear" w:color="auto" w:fill="F3F4F6"/>
            <w:tcMar>
              <w:top w:w="100" w:type="dxa"/>
              <w:left w:w="110" w:type="dxa"/>
              <w:bottom w:w="100" w:type="dxa"/>
              <w:right w:w="110" w:type="dxa"/>
            </w:tcMar>
            <w:vAlign w:val="center"/>
          </w:tcPr>
          <w:p w14:paraId="614826FE"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E5</w:t>
            </w:r>
          </w:p>
        </w:tc>
        <w:tc>
          <w:tcPr>
            <w:tcW w:w="3672" w:type="dxa"/>
            <w:shd w:val="clear" w:color="auto" w:fill="F3F4F6"/>
            <w:tcMar>
              <w:top w:w="100" w:type="dxa"/>
              <w:left w:w="110" w:type="dxa"/>
              <w:bottom w:w="100" w:type="dxa"/>
              <w:right w:w="110" w:type="dxa"/>
            </w:tcMar>
            <w:vAlign w:val="center"/>
          </w:tcPr>
          <w:p w14:paraId="280CC11B"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Nieporównywalność międzynarodowa</w:t>
            </w:r>
          </w:p>
        </w:tc>
        <w:tc>
          <w:tcPr>
            <w:tcW w:w="1512" w:type="dxa"/>
            <w:shd w:val="clear" w:color="auto" w:fill="F3F4F6"/>
            <w:tcMar>
              <w:top w:w="100" w:type="dxa"/>
              <w:left w:w="110" w:type="dxa"/>
              <w:bottom w:w="100" w:type="dxa"/>
              <w:right w:w="110" w:type="dxa"/>
            </w:tcMar>
            <w:vAlign w:val="center"/>
          </w:tcPr>
          <w:p w14:paraId="0C58F2B1"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13</w:t>
            </w:r>
          </w:p>
        </w:tc>
        <w:tc>
          <w:tcPr>
            <w:tcW w:w="4320" w:type="dxa"/>
            <w:shd w:val="clear" w:color="auto" w:fill="F3F4F6"/>
            <w:tcMar>
              <w:top w:w="100" w:type="dxa"/>
              <w:left w:w="110" w:type="dxa"/>
              <w:bottom w:w="100" w:type="dxa"/>
              <w:right w:w="110" w:type="dxa"/>
            </w:tcMar>
            <w:vAlign w:val="center"/>
          </w:tcPr>
          <w:p w14:paraId="4B632786"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6"/>
                <w:lang w:val="pl-PL"/>
              </w:rPr>
              <w:t>P01 P02 P03 P04 P05 P07 P08 P09 P10 P11 P13 P14 P15</w:t>
            </w:r>
          </w:p>
        </w:tc>
      </w:tr>
    </w:tbl>
    <w:p w14:paraId="564F3DA7" w14:textId="77777777" w:rsidR="002334FE" w:rsidRPr="000D08DE" w:rsidRDefault="002334FE">
      <w:pPr>
        <w:spacing w:after="20"/>
        <w:rPr>
          <w:rFonts w:ascii="Times New Roman" w:hAnsi="Times New Roman" w:cs="Times New Roman"/>
          <w:lang w:val="pl-PL"/>
        </w:rPr>
      </w:pPr>
    </w:p>
    <w:p w14:paraId="06658473" w14:textId="43BCE5A6" w:rsidR="00333E2F" w:rsidRPr="000D08DE" w:rsidRDefault="00440E91" w:rsidP="00333E2F">
      <w:pPr>
        <w:pStyle w:val="Nagwek1"/>
        <w:numPr>
          <w:ilvl w:val="0"/>
          <w:numId w:val="10"/>
        </w:numPr>
        <w:rPr>
          <w:rFonts w:ascii="Times New Roman" w:hAnsi="Times New Roman" w:cs="Times New Roman"/>
          <w:lang w:val="pl-PL"/>
        </w:rPr>
      </w:pPr>
      <w:r w:rsidRPr="000D08DE">
        <w:rPr>
          <w:rFonts w:ascii="Times New Roman" w:hAnsi="Times New Roman" w:cs="Times New Roman"/>
          <w:lang w:val="pl-PL"/>
        </w:rPr>
        <w:t>Współwystępowanie kodów</w:t>
      </w:r>
    </w:p>
    <w:p w14:paraId="5F73A59C" w14:textId="0A44A627" w:rsidR="002334FE" w:rsidRPr="000D08DE" w:rsidRDefault="00037C7B" w:rsidP="00037C7B">
      <w:pPr>
        <w:jc w:val="both"/>
        <w:rPr>
          <w:rFonts w:ascii="Times New Roman" w:hAnsi="Times New Roman" w:cs="Times New Roman"/>
          <w:lang w:val="pl-PL"/>
        </w:rPr>
      </w:pPr>
      <w:r w:rsidRPr="000D08DE">
        <w:rPr>
          <w:rFonts w:ascii="Times New Roman" w:hAnsi="Times New Roman" w:cs="Times New Roman"/>
          <w:lang w:val="pl-PL"/>
        </w:rPr>
        <w:t>Analiza rozmów pokazuje, iż</w:t>
      </w:r>
      <w:r w:rsidR="00440E91" w:rsidRPr="000D08DE">
        <w:rPr>
          <w:rFonts w:ascii="Times New Roman" w:hAnsi="Times New Roman" w:cs="Times New Roman"/>
          <w:lang w:val="pl-PL"/>
        </w:rPr>
        <w:t xml:space="preserve"> znaczenie mają nie </w:t>
      </w:r>
      <w:r w:rsidRPr="000D08DE">
        <w:rPr>
          <w:rFonts w:ascii="Times New Roman" w:hAnsi="Times New Roman" w:cs="Times New Roman"/>
          <w:lang w:val="pl-PL"/>
        </w:rPr>
        <w:t xml:space="preserve">tylko </w:t>
      </w:r>
      <w:r w:rsidR="00440E91" w:rsidRPr="000D08DE">
        <w:rPr>
          <w:rFonts w:ascii="Times New Roman" w:hAnsi="Times New Roman" w:cs="Times New Roman"/>
          <w:lang w:val="pl-PL"/>
        </w:rPr>
        <w:t xml:space="preserve">pojedyncze kody, lecz </w:t>
      </w:r>
      <w:r w:rsidRPr="000D08DE">
        <w:rPr>
          <w:rFonts w:ascii="Times New Roman" w:hAnsi="Times New Roman" w:cs="Times New Roman"/>
          <w:lang w:val="pl-PL"/>
        </w:rPr>
        <w:t xml:space="preserve">także </w:t>
      </w:r>
      <w:r w:rsidR="00440E91" w:rsidRPr="000D08DE">
        <w:rPr>
          <w:rFonts w:ascii="Times New Roman" w:hAnsi="Times New Roman" w:cs="Times New Roman"/>
          <w:lang w:val="pl-PL"/>
        </w:rPr>
        <w:t>ich układy. Poniższe relacje pojawiały się wielokrotnie albo miały szczególną wagę interpretacyjną.</w:t>
      </w:r>
    </w:p>
    <w:p w14:paraId="58266DFA" w14:textId="77777777" w:rsidR="00333E2F" w:rsidRPr="000D08DE" w:rsidRDefault="00333E2F" w:rsidP="00037C7B">
      <w:pPr>
        <w:jc w:val="both"/>
        <w:rPr>
          <w:rFonts w:ascii="Times New Roman" w:hAnsi="Times New Roman" w:cs="Times New Roman"/>
          <w:lang w:val="pl-PL"/>
        </w:rPr>
      </w:pPr>
    </w:p>
    <w:tbl>
      <w:tblPr>
        <w:tblW w:w="0" w:type="auto"/>
        <w:jc w:val="center"/>
        <w:tblLayout w:type="fixed"/>
        <w:tblLook w:val="04A0" w:firstRow="1" w:lastRow="0" w:firstColumn="1" w:lastColumn="0" w:noHBand="0" w:noVBand="1"/>
      </w:tblPr>
      <w:tblGrid>
        <w:gridCol w:w="1512"/>
        <w:gridCol w:w="2664"/>
        <w:gridCol w:w="6048"/>
      </w:tblGrid>
      <w:tr w:rsidR="002334FE" w:rsidRPr="000D08DE" w14:paraId="48EAEE57" w14:textId="77777777">
        <w:trPr>
          <w:cantSplit/>
          <w:tblHeader/>
          <w:jc w:val="center"/>
        </w:trPr>
        <w:tc>
          <w:tcPr>
            <w:tcW w:w="1512" w:type="dxa"/>
            <w:shd w:val="clear" w:color="auto" w:fill="374151"/>
            <w:tcMar>
              <w:top w:w="100" w:type="dxa"/>
              <w:left w:w="110" w:type="dxa"/>
              <w:bottom w:w="100" w:type="dxa"/>
              <w:right w:w="110" w:type="dxa"/>
            </w:tcMar>
            <w:vAlign w:val="center"/>
          </w:tcPr>
          <w:p w14:paraId="72A5498E"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b/>
                <w:color w:val="FFFFFF"/>
                <w:sz w:val="17"/>
                <w:lang w:val="pl-PL"/>
              </w:rPr>
              <w:t>Kody</w:t>
            </w:r>
          </w:p>
        </w:tc>
        <w:tc>
          <w:tcPr>
            <w:tcW w:w="2664" w:type="dxa"/>
            <w:shd w:val="clear" w:color="auto" w:fill="374151"/>
            <w:tcMar>
              <w:top w:w="100" w:type="dxa"/>
              <w:left w:w="110" w:type="dxa"/>
              <w:bottom w:w="100" w:type="dxa"/>
              <w:right w:w="110" w:type="dxa"/>
            </w:tcMar>
            <w:vAlign w:val="center"/>
          </w:tcPr>
          <w:p w14:paraId="4A03BE67"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b/>
                <w:color w:val="FFFFFF"/>
                <w:sz w:val="17"/>
                <w:lang w:val="pl-PL"/>
              </w:rPr>
              <w:t>Relacja</w:t>
            </w:r>
          </w:p>
        </w:tc>
        <w:tc>
          <w:tcPr>
            <w:tcW w:w="6048" w:type="dxa"/>
            <w:shd w:val="clear" w:color="auto" w:fill="374151"/>
            <w:tcMar>
              <w:top w:w="100" w:type="dxa"/>
              <w:left w:w="110" w:type="dxa"/>
              <w:bottom w:w="100" w:type="dxa"/>
              <w:right w:w="110" w:type="dxa"/>
            </w:tcMar>
            <w:vAlign w:val="center"/>
          </w:tcPr>
          <w:p w14:paraId="0CAC4BF7"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b/>
                <w:color w:val="FFFFFF"/>
                <w:sz w:val="17"/>
                <w:lang w:val="pl-PL"/>
              </w:rPr>
              <w:t>Interpretacja</w:t>
            </w:r>
          </w:p>
        </w:tc>
      </w:tr>
      <w:tr w:rsidR="002334FE" w:rsidRPr="000D08DE" w14:paraId="525E4D39" w14:textId="77777777">
        <w:trPr>
          <w:cantSplit/>
          <w:jc w:val="center"/>
        </w:trPr>
        <w:tc>
          <w:tcPr>
            <w:tcW w:w="1512" w:type="dxa"/>
            <w:tcMar>
              <w:top w:w="100" w:type="dxa"/>
              <w:left w:w="110" w:type="dxa"/>
              <w:bottom w:w="100" w:type="dxa"/>
              <w:right w:w="110" w:type="dxa"/>
            </w:tcMar>
            <w:vAlign w:val="center"/>
          </w:tcPr>
          <w:p w14:paraId="77C64E80"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7"/>
                <w:lang w:val="pl-PL"/>
              </w:rPr>
              <w:t>A1 + A3</w:t>
            </w:r>
          </w:p>
        </w:tc>
        <w:tc>
          <w:tcPr>
            <w:tcW w:w="2664" w:type="dxa"/>
            <w:tcMar>
              <w:top w:w="100" w:type="dxa"/>
              <w:left w:w="110" w:type="dxa"/>
              <w:bottom w:w="100" w:type="dxa"/>
              <w:right w:w="110" w:type="dxa"/>
            </w:tcMar>
            <w:vAlign w:val="center"/>
          </w:tcPr>
          <w:p w14:paraId="0DBE8EF9"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7"/>
                <w:lang w:val="pl-PL"/>
              </w:rPr>
              <w:t>Krytyczność i dziedziczenie</w:t>
            </w:r>
          </w:p>
        </w:tc>
        <w:tc>
          <w:tcPr>
            <w:tcW w:w="6048" w:type="dxa"/>
            <w:tcMar>
              <w:top w:w="100" w:type="dxa"/>
              <w:left w:w="110" w:type="dxa"/>
              <w:bottom w:w="100" w:type="dxa"/>
              <w:right w:w="110" w:type="dxa"/>
            </w:tcMar>
            <w:vAlign w:val="center"/>
          </w:tcPr>
          <w:p w14:paraId="627F8D58"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7"/>
                <w:lang w:val="pl-PL"/>
              </w:rPr>
              <w:t>Przedmiot ma uczyć krytycznego myślenia, lecz jego treść bywa dziedziczona po podręczniku, mistrzu lub egzaminie. To centralny paradoks korpusu.</w:t>
            </w:r>
          </w:p>
        </w:tc>
      </w:tr>
      <w:tr w:rsidR="002334FE" w:rsidRPr="000D08DE" w14:paraId="0EDF12FD" w14:textId="77777777">
        <w:trPr>
          <w:cantSplit/>
          <w:jc w:val="center"/>
        </w:trPr>
        <w:tc>
          <w:tcPr>
            <w:tcW w:w="1512" w:type="dxa"/>
            <w:shd w:val="clear" w:color="auto" w:fill="F3F4F6"/>
            <w:tcMar>
              <w:top w:w="100" w:type="dxa"/>
              <w:left w:w="110" w:type="dxa"/>
              <w:bottom w:w="100" w:type="dxa"/>
              <w:right w:w="110" w:type="dxa"/>
            </w:tcMar>
            <w:vAlign w:val="center"/>
          </w:tcPr>
          <w:p w14:paraId="06C55EE6"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7"/>
                <w:lang w:val="pl-PL"/>
              </w:rPr>
              <w:t>A2 + A3 + D1</w:t>
            </w:r>
          </w:p>
        </w:tc>
        <w:tc>
          <w:tcPr>
            <w:tcW w:w="2664" w:type="dxa"/>
            <w:shd w:val="clear" w:color="auto" w:fill="F3F4F6"/>
            <w:tcMar>
              <w:top w:w="100" w:type="dxa"/>
              <w:left w:w="110" w:type="dxa"/>
              <w:bottom w:w="100" w:type="dxa"/>
              <w:right w:w="110" w:type="dxa"/>
            </w:tcMar>
            <w:vAlign w:val="center"/>
          </w:tcPr>
          <w:p w14:paraId="5CD65334"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7"/>
                <w:lang w:val="pl-PL"/>
              </w:rPr>
              <w:t>Wpływ utrwalany instytucjonalnie</w:t>
            </w:r>
          </w:p>
        </w:tc>
        <w:tc>
          <w:tcPr>
            <w:tcW w:w="6048" w:type="dxa"/>
            <w:shd w:val="clear" w:color="auto" w:fill="F3F4F6"/>
            <w:tcMar>
              <w:top w:w="100" w:type="dxa"/>
              <w:left w:w="110" w:type="dxa"/>
              <w:bottom w:w="100" w:type="dxa"/>
              <w:right w:w="110" w:type="dxa"/>
            </w:tcMar>
            <w:vAlign w:val="center"/>
          </w:tcPr>
          <w:p w14:paraId="2542CDD4"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7"/>
                <w:lang w:val="pl-PL"/>
              </w:rPr>
              <w:t>Kryterium wpływu nie działa w próżni: o tym, kto jest uznawany za wpływowego, współdecydują podręczniki, wcześniejsze badania i utrwalona lista egzaminacyjna.</w:t>
            </w:r>
          </w:p>
        </w:tc>
      </w:tr>
      <w:tr w:rsidR="002334FE" w:rsidRPr="000D08DE" w14:paraId="49193681" w14:textId="77777777">
        <w:trPr>
          <w:cantSplit/>
          <w:jc w:val="center"/>
        </w:trPr>
        <w:tc>
          <w:tcPr>
            <w:tcW w:w="1512" w:type="dxa"/>
            <w:tcMar>
              <w:top w:w="100" w:type="dxa"/>
              <w:left w:w="110" w:type="dxa"/>
              <w:bottom w:w="100" w:type="dxa"/>
              <w:right w:w="110" w:type="dxa"/>
            </w:tcMar>
            <w:vAlign w:val="center"/>
          </w:tcPr>
          <w:p w14:paraId="1EE826A4"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7"/>
                <w:lang w:val="pl-PL"/>
              </w:rPr>
              <w:t>A5 + B1</w:t>
            </w:r>
          </w:p>
        </w:tc>
        <w:tc>
          <w:tcPr>
            <w:tcW w:w="2664" w:type="dxa"/>
            <w:tcMar>
              <w:top w:w="100" w:type="dxa"/>
              <w:left w:w="110" w:type="dxa"/>
              <w:bottom w:w="100" w:type="dxa"/>
              <w:right w:w="110" w:type="dxa"/>
            </w:tcMar>
            <w:vAlign w:val="center"/>
          </w:tcPr>
          <w:p w14:paraId="4B1F13EE"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7"/>
                <w:lang w:val="pl-PL"/>
              </w:rPr>
              <w:t>Czas i marginalna widzialność</w:t>
            </w:r>
          </w:p>
        </w:tc>
        <w:tc>
          <w:tcPr>
            <w:tcW w:w="6048" w:type="dxa"/>
            <w:tcMar>
              <w:top w:w="100" w:type="dxa"/>
              <w:left w:w="110" w:type="dxa"/>
              <w:bottom w:w="100" w:type="dxa"/>
              <w:right w:w="110" w:type="dxa"/>
            </w:tcMar>
            <w:vAlign w:val="center"/>
          </w:tcPr>
          <w:p w14:paraId="024C6DB4"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7"/>
                <w:lang w:val="pl-PL"/>
              </w:rPr>
              <w:t>Brak czasu najczęściej nie prowadzi do całkowitego usunięcia kobiet, lecz do redukcji ich obecności do wzmianki bez samodzielnego statusu.</w:t>
            </w:r>
          </w:p>
        </w:tc>
      </w:tr>
      <w:tr w:rsidR="002334FE" w:rsidRPr="000D08DE" w14:paraId="637730BA" w14:textId="77777777">
        <w:trPr>
          <w:cantSplit/>
          <w:jc w:val="center"/>
        </w:trPr>
        <w:tc>
          <w:tcPr>
            <w:tcW w:w="1512" w:type="dxa"/>
            <w:shd w:val="clear" w:color="auto" w:fill="F3F4F6"/>
            <w:tcMar>
              <w:top w:w="100" w:type="dxa"/>
              <w:left w:w="110" w:type="dxa"/>
              <w:bottom w:w="100" w:type="dxa"/>
              <w:right w:w="110" w:type="dxa"/>
            </w:tcMar>
            <w:vAlign w:val="center"/>
          </w:tcPr>
          <w:p w14:paraId="674CE1D5"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7"/>
                <w:lang w:val="pl-PL"/>
              </w:rPr>
              <w:t>A5 + B4</w:t>
            </w:r>
          </w:p>
        </w:tc>
        <w:tc>
          <w:tcPr>
            <w:tcW w:w="2664" w:type="dxa"/>
            <w:shd w:val="clear" w:color="auto" w:fill="F3F4F6"/>
            <w:tcMar>
              <w:top w:w="100" w:type="dxa"/>
              <w:left w:w="110" w:type="dxa"/>
              <w:bottom w:w="100" w:type="dxa"/>
              <w:right w:w="110" w:type="dxa"/>
            </w:tcMar>
            <w:vAlign w:val="center"/>
          </w:tcPr>
          <w:p w14:paraId="0B809999"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7"/>
                <w:lang w:val="pl-PL"/>
              </w:rPr>
              <w:t>Czas i osobny blok feminizmu</w:t>
            </w:r>
          </w:p>
        </w:tc>
        <w:tc>
          <w:tcPr>
            <w:tcW w:w="6048" w:type="dxa"/>
            <w:shd w:val="clear" w:color="auto" w:fill="F3F4F6"/>
            <w:tcMar>
              <w:top w:w="100" w:type="dxa"/>
              <w:left w:w="110" w:type="dxa"/>
              <w:bottom w:w="100" w:type="dxa"/>
              <w:right w:w="110" w:type="dxa"/>
            </w:tcMar>
            <w:vAlign w:val="center"/>
          </w:tcPr>
          <w:p w14:paraId="5F9147AA"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7"/>
                <w:lang w:val="pl-PL"/>
              </w:rPr>
              <w:t>Oddzielny blok ułatwia wprowadzenie autorek, ale jako element późny lub dodatkowy jest szczególnie podatny na skrócenie.</w:t>
            </w:r>
          </w:p>
        </w:tc>
      </w:tr>
      <w:tr w:rsidR="002334FE" w:rsidRPr="000D08DE" w14:paraId="7D924FD9" w14:textId="77777777">
        <w:trPr>
          <w:cantSplit/>
          <w:jc w:val="center"/>
        </w:trPr>
        <w:tc>
          <w:tcPr>
            <w:tcW w:w="1512" w:type="dxa"/>
            <w:tcMar>
              <w:top w:w="100" w:type="dxa"/>
              <w:left w:w="110" w:type="dxa"/>
              <w:bottom w:w="100" w:type="dxa"/>
              <w:right w:w="110" w:type="dxa"/>
            </w:tcMar>
            <w:vAlign w:val="center"/>
          </w:tcPr>
          <w:p w14:paraId="6E9545F4"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7"/>
                <w:lang w:val="pl-PL"/>
              </w:rPr>
              <w:t>A4 + D2 + B3</w:t>
            </w:r>
          </w:p>
        </w:tc>
        <w:tc>
          <w:tcPr>
            <w:tcW w:w="2664" w:type="dxa"/>
            <w:tcMar>
              <w:top w:w="100" w:type="dxa"/>
              <w:left w:w="110" w:type="dxa"/>
              <w:bottom w:w="100" w:type="dxa"/>
              <w:right w:w="110" w:type="dxa"/>
            </w:tcMar>
            <w:vAlign w:val="center"/>
          </w:tcPr>
          <w:p w14:paraId="6FA9A18A"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7"/>
                <w:lang w:val="pl-PL"/>
              </w:rPr>
              <w:t>Specjalizacja jako brama</w:t>
            </w:r>
          </w:p>
        </w:tc>
        <w:tc>
          <w:tcPr>
            <w:tcW w:w="6048" w:type="dxa"/>
            <w:tcMar>
              <w:top w:w="100" w:type="dxa"/>
              <w:left w:w="110" w:type="dxa"/>
              <w:bottom w:w="100" w:type="dxa"/>
              <w:right w:w="110" w:type="dxa"/>
            </w:tcMar>
            <w:vAlign w:val="center"/>
          </w:tcPr>
          <w:p w14:paraId="59A72DBB"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7"/>
                <w:lang w:val="pl-PL"/>
              </w:rPr>
              <w:t>Samodzielne omawianie autorki jest częstsze, gdy jej twórczość łączy się ze specjalizacją prowadzącego i może być wsparta materiałem autorskim.</w:t>
            </w:r>
          </w:p>
        </w:tc>
      </w:tr>
      <w:tr w:rsidR="002334FE" w:rsidRPr="000D08DE" w14:paraId="7ED24FDD" w14:textId="77777777">
        <w:trPr>
          <w:cantSplit/>
          <w:jc w:val="center"/>
        </w:trPr>
        <w:tc>
          <w:tcPr>
            <w:tcW w:w="1512" w:type="dxa"/>
            <w:shd w:val="clear" w:color="auto" w:fill="F3F4F6"/>
            <w:tcMar>
              <w:top w:w="100" w:type="dxa"/>
              <w:left w:w="110" w:type="dxa"/>
              <w:bottom w:w="100" w:type="dxa"/>
              <w:right w:w="110" w:type="dxa"/>
            </w:tcMar>
            <w:vAlign w:val="center"/>
          </w:tcPr>
          <w:p w14:paraId="710E2DC4"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7"/>
                <w:lang w:val="pl-PL"/>
              </w:rPr>
              <w:t>B2 + B3</w:t>
            </w:r>
          </w:p>
        </w:tc>
        <w:tc>
          <w:tcPr>
            <w:tcW w:w="2664" w:type="dxa"/>
            <w:shd w:val="clear" w:color="auto" w:fill="F3F4F6"/>
            <w:tcMar>
              <w:top w:w="100" w:type="dxa"/>
              <w:left w:w="110" w:type="dxa"/>
              <w:bottom w:w="100" w:type="dxa"/>
              <w:right w:w="110" w:type="dxa"/>
            </w:tcMar>
            <w:vAlign w:val="center"/>
          </w:tcPr>
          <w:p w14:paraId="47FEB4A9"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7"/>
                <w:lang w:val="pl-PL"/>
              </w:rPr>
              <w:t>Od relacji do autorstwa</w:t>
            </w:r>
          </w:p>
        </w:tc>
        <w:tc>
          <w:tcPr>
            <w:tcW w:w="6048" w:type="dxa"/>
            <w:shd w:val="clear" w:color="auto" w:fill="F3F4F6"/>
            <w:tcMar>
              <w:top w:w="100" w:type="dxa"/>
              <w:left w:w="110" w:type="dxa"/>
              <w:bottom w:w="100" w:type="dxa"/>
              <w:right w:w="110" w:type="dxa"/>
            </w:tcMar>
            <w:vAlign w:val="center"/>
          </w:tcPr>
          <w:p w14:paraId="116585FF" w14:textId="77777777" w:rsidR="002334FE" w:rsidRPr="000D08DE" w:rsidRDefault="00440E91">
            <w:pPr>
              <w:spacing w:after="0" w:line="252" w:lineRule="auto"/>
              <w:rPr>
                <w:rFonts w:ascii="Times New Roman" w:hAnsi="Times New Roman" w:cs="Times New Roman"/>
                <w:lang w:val="pl-PL"/>
              </w:rPr>
            </w:pPr>
            <w:proofErr w:type="spellStart"/>
            <w:r w:rsidRPr="000D08DE">
              <w:rPr>
                <w:rFonts w:ascii="Times New Roman" w:hAnsi="Times New Roman" w:cs="Times New Roman"/>
                <w:color w:val="000000"/>
                <w:sz w:val="17"/>
                <w:lang w:val="pl-PL"/>
              </w:rPr>
              <w:t>Harriet</w:t>
            </w:r>
            <w:proofErr w:type="spellEnd"/>
            <w:r w:rsidRPr="000D08DE">
              <w:rPr>
                <w:rFonts w:ascii="Times New Roman" w:hAnsi="Times New Roman" w:cs="Times New Roman"/>
                <w:color w:val="000000"/>
                <w:sz w:val="17"/>
                <w:lang w:val="pl-PL"/>
              </w:rPr>
              <w:t xml:space="preserve"> Taylor Mill, </w:t>
            </w:r>
            <w:proofErr w:type="spellStart"/>
            <w:r w:rsidRPr="000D08DE">
              <w:rPr>
                <w:rFonts w:ascii="Times New Roman" w:hAnsi="Times New Roman" w:cs="Times New Roman"/>
                <w:color w:val="000000"/>
                <w:sz w:val="17"/>
                <w:lang w:val="pl-PL"/>
              </w:rPr>
              <w:t>Abigail</w:t>
            </w:r>
            <w:proofErr w:type="spellEnd"/>
            <w:r w:rsidRPr="000D08DE">
              <w:rPr>
                <w:rFonts w:ascii="Times New Roman" w:hAnsi="Times New Roman" w:cs="Times New Roman"/>
                <w:color w:val="000000"/>
                <w:sz w:val="17"/>
                <w:lang w:val="pl-PL"/>
              </w:rPr>
              <w:t xml:space="preserve"> Adams czy Mary </w:t>
            </w:r>
            <w:proofErr w:type="spellStart"/>
            <w:r w:rsidRPr="000D08DE">
              <w:rPr>
                <w:rFonts w:ascii="Times New Roman" w:hAnsi="Times New Roman" w:cs="Times New Roman"/>
                <w:color w:val="000000"/>
                <w:sz w:val="17"/>
                <w:lang w:val="pl-PL"/>
              </w:rPr>
              <w:t>Wollstonecraft</w:t>
            </w:r>
            <w:proofErr w:type="spellEnd"/>
            <w:r w:rsidRPr="000D08DE">
              <w:rPr>
                <w:rFonts w:ascii="Times New Roman" w:hAnsi="Times New Roman" w:cs="Times New Roman"/>
                <w:color w:val="000000"/>
                <w:sz w:val="17"/>
                <w:lang w:val="pl-PL"/>
              </w:rPr>
              <w:t xml:space="preserve"> bywają wprowadzane przez relację z mężczyzną, ale u części rozmówców relacja staje się punktem wyjścia do uznania ich własnego wkładu.</w:t>
            </w:r>
          </w:p>
        </w:tc>
      </w:tr>
      <w:tr w:rsidR="002334FE" w:rsidRPr="000D08DE" w14:paraId="042EAF7B" w14:textId="77777777">
        <w:trPr>
          <w:cantSplit/>
          <w:jc w:val="center"/>
        </w:trPr>
        <w:tc>
          <w:tcPr>
            <w:tcW w:w="1512" w:type="dxa"/>
            <w:tcMar>
              <w:top w:w="100" w:type="dxa"/>
              <w:left w:w="110" w:type="dxa"/>
              <w:bottom w:w="100" w:type="dxa"/>
              <w:right w:w="110" w:type="dxa"/>
            </w:tcMar>
            <w:vAlign w:val="center"/>
          </w:tcPr>
          <w:p w14:paraId="654ED562"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7"/>
                <w:lang w:val="pl-PL"/>
              </w:rPr>
              <w:lastRenderedPageBreak/>
              <w:t>B2 + B3 + C1</w:t>
            </w:r>
          </w:p>
        </w:tc>
        <w:tc>
          <w:tcPr>
            <w:tcW w:w="2664" w:type="dxa"/>
            <w:tcMar>
              <w:top w:w="100" w:type="dxa"/>
              <w:left w:w="110" w:type="dxa"/>
              <w:bottom w:w="100" w:type="dxa"/>
              <w:right w:w="110" w:type="dxa"/>
            </w:tcMar>
            <w:vAlign w:val="center"/>
          </w:tcPr>
          <w:p w14:paraId="1C5CF36F"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7"/>
                <w:lang w:val="pl-PL"/>
              </w:rPr>
              <w:t>Odzyskiwanie przypisanego autorstwa</w:t>
            </w:r>
          </w:p>
        </w:tc>
        <w:tc>
          <w:tcPr>
            <w:tcW w:w="6048" w:type="dxa"/>
            <w:tcMar>
              <w:top w:w="100" w:type="dxa"/>
              <w:left w:w="110" w:type="dxa"/>
              <w:bottom w:w="100" w:type="dxa"/>
              <w:right w:w="110" w:type="dxa"/>
            </w:tcMar>
            <w:vAlign w:val="center"/>
          </w:tcPr>
          <w:p w14:paraId="34F3B334"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7"/>
                <w:lang w:val="pl-PL"/>
              </w:rPr>
              <w:t xml:space="preserve">P15 wzmacnia wątek </w:t>
            </w:r>
            <w:proofErr w:type="spellStart"/>
            <w:r w:rsidRPr="000D08DE">
              <w:rPr>
                <w:rFonts w:ascii="Times New Roman" w:hAnsi="Times New Roman" w:cs="Times New Roman"/>
                <w:color w:val="000000"/>
                <w:sz w:val="17"/>
                <w:lang w:val="pl-PL"/>
              </w:rPr>
              <w:t>Harriet</w:t>
            </w:r>
            <w:proofErr w:type="spellEnd"/>
            <w:r w:rsidRPr="000D08DE">
              <w:rPr>
                <w:rFonts w:ascii="Times New Roman" w:hAnsi="Times New Roman" w:cs="Times New Roman"/>
                <w:color w:val="000000"/>
                <w:sz w:val="17"/>
                <w:lang w:val="pl-PL"/>
              </w:rPr>
              <w:t xml:space="preserve"> Taylor Mill: relacja z kanonicznym mężczyzną łączy się z rozpoznaniem, że przypisywano mu dzieło lub wkład kobiety. Przejście od obecności relacyjnej do samodzielnego autorstwa wymaga więc korekty historii recepcji.</w:t>
            </w:r>
          </w:p>
        </w:tc>
      </w:tr>
      <w:tr w:rsidR="002334FE" w:rsidRPr="000D08DE" w14:paraId="79D0CFD0" w14:textId="77777777">
        <w:trPr>
          <w:cantSplit/>
          <w:jc w:val="center"/>
        </w:trPr>
        <w:tc>
          <w:tcPr>
            <w:tcW w:w="1512" w:type="dxa"/>
            <w:shd w:val="clear" w:color="auto" w:fill="F3F4F6"/>
            <w:tcMar>
              <w:top w:w="100" w:type="dxa"/>
              <w:left w:w="110" w:type="dxa"/>
              <w:bottom w:w="100" w:type="dxa"/>
              <w:right w:w="110" w:type="dxa"/>
            </w:tcMar>
            <w:vAlign w:val="center"/>
          </w:tcPr>
          <w:p w14:paraId="0E0EB024"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7"/>
                <w:lang w:val="pl-PL"/>
              </w:rPr>
              <w:t>C1 + C2</w:t>
            </w:r>
          </w:p>
        </w:tc>
        <w:tc>
          <w:tcPr>
            <w:tcW w:w="2664" w:type="dxa"/>
            <w:shd w:val="clear" w:color="auto" w:fill="F3F4F6"/>
            <w:tcMar>
              <w:top w:w="100" w:type="dxa"/>
              <w:left w:w="110" w:type="dxa"/>
              <w:bottom w:w="100" w:type="dxa"/>
              <w:right w:w="110" w:type="dxa"/>
            </w:tcMar>
            <w:vAlign w:val="center"/>
          </w:tcPr>
          <w:p w14:paraId="6488203B"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7"/>
                <w:lang w:val="pl-PL"/>
              </w:rPr>
              <w:t>Wspólna diagnoza różne konsekwencje</w:t>
            </w:r>
          </w:p>
        </w:tc>
        <w:tc>
          <w:tcPr>
            <w:tcW w:w="6048" w:type="dxa"/>
            <w:shd w:val="clear" w:color="auto" w:fill="F3F4F6"/>
            <w:tcMar>
              <w:top w:w="100" w:type="dxa"/>
              <w:left w:w="110" w:type="dxa"/>
              <w:bottom w:w="100" w:type="dxa"/>
              <w:right w:w="110" w:type="dxa"/>
            </w:tcMar>
            <w:vAlign w:val="center"/>
          </w:tcPr>
          <w:p w14:paraId="55495864"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7"/>
                <w:lang w:val="pl-PL"/>
              </w:rPr>
              <w:t>Historyczne ograniczenia wobec kobiet prowadzą jednych do postulatu korekty kanonu, a innych do wniosku, że męska dominacja wiernie odzwierciedla przeszłość.</w:t>
            </w:r>
          </w:p>
        </w:tc>
      </w:tr>
      <w:tr w:rsidR="002334FE" w:rsidRPr="000D08DE" w14:paraId="0B726EED" w14:textId="77777777">
        <w:trPr>
          <w:cantSplit/>
          <w:jc w:val="center"/>
        </w:trPr>
        <w:tc>
          <w:tcPr>
            <w:tcW w:w="1512" w:type="dxa"/>
            <w:tcMar>
              <w:top w:w="100" w:type="dxa"/>
              <w:left w:w="110" w:type="dxa"/>
              <w:bottom w:w="100" w:type="dxa"/>
              <w:right w:w="110" w:type="dxa"/>
            </w:tcMar>
            <w:vAlign w:val="center"/>
          </w:tcPr>
          <w:p w14:paraId="5AC15672"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7"/>
                <w:lang w:val="pl-PL"/>
              </w:rPr>
              <w:t>C3 + D2</w:t>
            </w:r>
          </w:p>
        </w:tc>
        <w:tc>
          <w:tcPr>
            <w:tcW w:w="2664" w:type="dxa"/>
            <w:tcMar>
              <w:top w:w="100" w:type="dxa"/>
              <w:left w:w="110" w:type="dxa"/>
              <w:bottom w:w="100" w:type="dxa"/>
              <w:right w:w="110" w:type="dxa"/>
            </w:tcMar>
            <w:vAlign w:val="center"/>
          </w:tcPr>
          <w:p w14:paraId="461E453B"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7"/>
                <w:lang w:val="pl-PL"/>
              </w:rPr>
              <w:t>Autonomia pod presją</w:t>
            </w:r>
          </w:p>
        </w:tc>
        <w:tc>
          <w:tcPr>
            <w:tcW w:w="6048" w:type="dxa"/>
            <w:tcMar>
              <w:top w:w="100" w:type="dxa"/>
              <w:left w:w="110" w:type="dxa"/>
              <w:bottom w:w="100" w:type="dxa"/>
              <w:right w:w="110" w:type="dxa"/>
            </w:tcMar>
            <w:vAlign w:val="center"/>
          </w:tcPr>
          <w:p w14:paraId="1252BEE7"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7"/>
                <w:lang w:val="pl-PL"/>
              </w:rPr>
              <w:t xml:space="preserve">Materiały autorskie umożliwiają poszerzenie kursu, lecz mogą być stosowane dyskretnie, gdy otoczenie katedry negatywnie reaguje na </w:t>
            </w:r>
            <w:proofErr w:type="spellStart"/>
            <w:r w:rsidRPr="000D08DE">
              <w:rPr>
                <w:rFonts w:ascii="Times New Roman" w:hAnsi="Times New Roman" w:cs="Times New Roman"/>
                <w:color w:val="000000"/>
                <w:sz w:val="17"/>
                <w:lang w:val="pl-PL"/>
              </w:rPr>
              <w:t>gender</w:t>
            </w:r>
            <w:proofErr w:type="spellEnd"/>
            <w:r w:rsidRPr="000D08DE">
              <w:rPr>
                <w:rFonts w:ascii="Times New Roman" w:hAnsi="Times New Roman" w:cs="Times New Roman"/>
                <w:color w:val="000000"/>
                <w:sz w:val="17"/>
                <w:lang w:val="pl-PL"/>
              </w:rPr>
              <w:t xml:space="preserve"> lub feminizm.</w:t>
            </w:r>
          </w:p>
        </w:tc>
      </w:tr>
      <w:tr w:rsidR="002334FE" w:rsidRPr="000D08DE" w14:paraId="323F7505" w14:textId="77777777">
        <w:trPr>
          <w:cantSplit/>
          <w:jc w:val="center"/>
        </w:trPr>
        <w:tc>
          <w:tcPr>
            <w:tcW w:w="1512" w:type="dxa"/>
            <w:shd w:val="clear" w:color="auto" w:fill="F3F4F6"/>
            <w:tcMar>
              <w:top w:w="100" w:type="dxa"/>
              <w:left w:w="110" w:type="dxa"/>
              <w:bottom w:w="100" w:type="dxa"/>
              <w:right w:w="110" w:type="dxa"/>
            </w:tcMar>
            <w:vAlign w:val="center"/>
          </w:tcPr>
          <w:p w14:paraId="401626C1"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7"/>
                <w:lang w:val="pl-PL"/>
              </w:rPr>
              <w:t>E1 + E2</w:t>
            </w:r>
          </w:p>
        </w:tc>
        <w:tc>
          <w:tcPr>
            <w:tcW w:w="2664" w:type="dxa"/>
            <w:shd w:val="clear" w:color="auto" w:fill="F3F4F6"/>
            <w:tcMar>
              <w:top w:w="100" w:type="dxa"/>
              <w:left w:w="110" w:type="dxa"/>
              <w:bottom w:w="100" w:type="dxa"/>
              <w:right w:w="110" w:type="dxa"/>
            </w:tcMar>
            <w:vAlign w:val="center"/>
          </w:tcPr>
          <w:p w14:paraId="2CD99DD8"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7"/>
                <w:lang w:val="pl-PL"/>
              </w:rPr>
              <w:t>Poparcie z zastrzeżeniem</w:t>
            </w:r>
          </w:p>
        </w:tc>
        <w:tc>
          <w:tcPr>
            <w:tcW w:w="6048" w:type="dxa"/>
            <w:shd w:val="clear" w:color="auto" w:fill="F3F4F6"/>
            <w:tcMar>
              <w:top w:w="100" w:type="dxa"/>
              <w:left w:w="110" w:type="dxa"/>
              <w:bottom w:w="100" w:type="dxa"/>
              <w:right w:w="110" w:type="dxa"/>
            </w:tcMar>
            <w:vAlign w:val="center"/>
          </w:tcPr>
          <w:p w14:paraId="3389383E"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7"/>
                <w:lang w:val="pl-PL"/>
              </w:rPr>
              <w:t>U wielu rozmówców aprobata dla większej widzialności współistnieje ze sprzeciwem wobec parytetu, odgórności, prezentyzmu albo aktywizmu.</w:t>
            </w:r>
          </w:p>
        </w:tc>
      </w:tr>
      <w:tr w:rsidR="002334FE" w:rsidRPr="000D08DE" w14:paraId="19BFCF77" w14:textId="77777777">
        <w:trPr>
          <w:cantSplit/>
          <w:jc w:val="center"/>
        </w:trPr>
        <w:tc>
          <w:tcPr>
            <w:tcW w:w="1512" w:type="dxa"/>
            <w:tcMar>
              <w:top w:w="100" w:type="dxa"/>
              <w:left w:w="110" w:type="dxa"/>
              <w:bottom w:w="100" w:type="dxa"/>
              <w:right w:w="110" w:type="dxa"/>
            </w:tcMar>
            <w:vAlign w:val="center"/>
          </w:tcPr>
          <w:p w14:paraId="47791A21"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7"/>
                <w:lang w:val="pl-PL"/>
              </w:rPr>
              <w:t>E3 + B1</w:t>
            </w:r>
          </w:p>
        </w:tc>
        <w:tc>
          <w:tcPr>
            <w:tcW w:w="2664" w:type="dxa"/>
            <w:tcMar>
              <w:top w:w="100" w:type="dxa"/>
              <w:left w:w="110" w:type="dxa"/>
              <w:bottom w:w="100" w:type="dxa"/>
              <w:right w:w="110" w:type="dxa"/>
            </w:tcMar>
            <w:vAlign w:val="center"/>
          </w:tcPr>
          <w:p w14:paraId="0BEC519D"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7"/>
                <w:lang w:val="pl-PL"/>
              </w:rPr>
              <w:t>Refleksyjny efekt wywiadu</w:t>
            </w:r>
          </w:p>
        </w:tc>
        <w:tc>
          <w:tcPr>
            <w:tcW w:w="6048" w:type="dxa"/>
            <w:tcMar>
              <w:top w:w="100" w:type="dxa"/>
              <w:left w:w="110" w:type="dxa"/>
              <w:bottom w:w="100" w:type="dxa"/>
              <w:right w:w="110" w:type="dxa"/>
            </w:tcMar>
            <w:vAlign w:val="center"/>
          </w:tcPr>
          <w:p w14:paraId="04039D8D"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7"/>
                <w:lang w:val="pl-PL"/>
              </w:rPr>
              <w:t>Rozpoznanie marginalności w trakcie rozmowy prowadzi niekiedy do deklaracji ponownego przemyślenia materiałów lub sylabusa.</w:t>
            </w:r>
          </w:p>
        </w:tc>
      </w:tr>
      <w:tr w:rsidR="002334FE" w:rsidRPr="000D08DE" w14:paraId="44AE5A99" w14:textId="77777777">
        <w:trPr>
          <w:cantSplit/>
          <w:jc w:val="center"/>
        </w:trPr>
        <w:tc>
          <w:tcPr>
            <w:tcW w:w="1512" w:type="dxa"/>
            <w:shd w:val="clear" w:color="auto" w:fill="F3F4F6"/>
            <w:tcMar>
              <w:top w:w="100" w:type="dxa"/>
              <w:left w:w="110" w:type="dxa"/>
              <w:bottom w:w="100" w:type="dxa"/>
              <w:right w:w="110" w:type="dxa"/>
            </w:tcMar>
            <w:vAlign w:val="center"/>
          </w:tcPr>
          <w:p w14:paraId="6E86C645"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7"/>
                <w:lang w:val="pl-PL"/>
              </w:rPr>
              <w:t>A6 + A5</w:t>
            </w:r>
          </w:p>
        </w:tc>
        <w:tc>
          <w:tcPr>
            <w:tcW w:w="2664" w:type="dxa"/>
            <w:shd w:val="clear" w:color="auto" w:fill="F3F4F6"/>
            <w:tcMar>
              <w:top w:w="100" w:type="dxa"/>
              <w:left w:w="110" w:type="dxa"/>
              <w:bottom w:w="100" w:type="dxa"/>
              <w:right w:w="110" w:type="dxa"/>
            </w:tcMar>
            <w:vAlign w:val="center"/>
          </w:tcPr>
          <w:p w14:paraId="43712E31"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7"/>
                <w:lang w:val="pl-PL"/>
              </w:rPr>
              <w:t>Status przedmiotu i czas</w:t>
            </w:r>
          </w:p>
        </w:tc>
        <w:tc>
          <w:tcPr>
            <w:tcW w:w="6048" w:type="dxa"/>
            <w:shd w:val="clear" w:color="auto" w:fill="F3F4F6"/>
            <w:tcMar>
              <w:top w:w="100" w:type="dxa"/>
              <w:left w:w="110" w:type="dxa"/>
              <w:bottom w:w="100" w:type="dxa"/>
              <w:right w:w="110" w:type="dxa"/>
            </w:tcMar>
            <w:vAlign w:val="center"/>
          </w:tcPr>
          <w:p w14:paraId="6805E1A5"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7"/>
                <w:lang w:val="pl-PL"/>
              </w:rPr>
              <w:t>Kurczenie liczby godzin jest przejawem szerszej marginalizacji doktryn; problem reprezentacji zostaje odsunięty, gdy prowadzący walczą o utrzymanie kursu.</w:t>
            </w:r>
          </w:p>
        </w:tc>
      </w:tr>
      <w:tr w:rsidR="002334FE" w:rsidRPr="000D08DE" w14:paraId="7672EF51" w14:textId="77777777">
        <w:trPr>
          <w:cantSplit/>
          <w:jc w:val="center"/>
        </w:trPr>
        <w:tc>
          <w:tcPr>
            <w:tcW w:w="1512" w:type="dxa"/>
            <w:tcMar>
              <w:top w:w="100" w:type="dxa"/>
              <w:left w:w="110" w:type="dxa"/>
              <w:bottom w:w="100" w:type="dxa"/>
              <w:right w:w="110" w:type="dxa"/>
            </w:tcMar>
            <w:vAlign w:val="center"/>
          </w:tcPr>
          <w:p w14:paraId="6FD66962"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7"/>
                <w:lang w:val="pl-PL"/>
              </w:rPr>
              <w:t>D1 + D2</w:t>
            </w:r>
          </w:p>
        </w:tc>
        <w:tc>
          <w:tcPr>
            <w:tcW w:w="2664" w:type="dxa"/>
            <w:tcMar>
              <w:top w:w="100" w:type="dxa"/>
              <w:left w:w="110" w:type="dxa"/>
              <w:bottom w:w="100" w:type="dxa"/>
              <w:right w:w="110" w:type="dxa"/>
            </w:tcMar>
            <w:vAlign w:val="center"/>
          </w:tcPr>
          <w:p w14:paraId="0F95D196"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7"/>
                <w:lang w:val="pl-PL"/>
              </w:rPr>
              <w:t>Kanon wspólny i korekty jednostkowe</w:t>
            </w:r>
          </w:p>
        </w:tc>
        <w:tc>
          <w:tcPr>
            <w:tcW w:w="6048" w:type="dxa"/>
            <w:tcMar>
              <w:top w:w="100" w:type="dxa"/>
              <w:left w:w="110" w:type="dxa"/>
              <w:bottom w:w="100" w:type="dxa"/>
              <w:right w:w="110" w:type="dxa"/>
            </w:tcMar>
            <w:vAlign w:val="center"/>
          </w:tcPr>
          <w:p w14:paraId="01961A13"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7"/>
                <w:lang w:val="pl-PL"/>
              </w:rPr>
              <w:t>Podręcznik stabilizuje wspólne minimum, a prezentacje i teksty źródłowe pozwalają na indywidualne korekty, zwiększając zarazem różnice między ośrodkami.</w:t>
            </w:r>
          </w:p>
        </w:tc>
      </w:tr>
    </w:tbl>
    <w:p w14:paraId="3253DAE8" w14:textId="77777777" w:rsidR="002334FE" w:rsidRPr="000D08DE" w:rsidRDefault="002334FE">
      <w:pPr>
        <w:spacing w:after="20"/>
        <w:rPr>
          <w:rFonts w:ascii="Times New Roman" w:hAnsi="Times New Roman" w:cs="Times New Roman"/>
          <w:lang w:val="pl-PL"/>
        </w:rPr>
      </w:pPr>
    </w:p>
    <w:p w14:paraId="5BCC14ED" w14:textId="77777777" w:rsidR="009E4A1F" w:rsidRPr="000D08DE" w:rsidRDefault="009E4A1F" w:rsidP="009E4A1F">
      <w:pPr>
        <w:pStyle w:val="Listapunktowana"/>
        <w:numPr>
          <w:ilvl w:val="0"/>
          <w:numId w:val="0"/>
        </w:numPr>
        <w:ind w:left="360"/>
        <w:rPr>
          <w:rFonts w:ascii="Times New Roman" w:hAnsi="Times New Roman" w:cs="Times New Roman"/>
          <w:lang w:val="pl-PL"/>
        </w:rPr>
      </w:pPr>
    </w:p>
    <w:p w14:paraId="5F7096C5" w14:textId="63E3CC2E" w:rsidR="002334FE" w:rsidRPr="000D08DE" w:rsidRDefault="00440E91" w:rsidP="0094164B">
      <w:pPr>
        <w:pStyle w:val="Nagwek1"/>
        <w:numPr>
          <w:ilvl w:val="0"/>
          <w:numId w:val="10"/>
        </w:numPr>
        <w:rPr>
          <w:rFonts w:ascii="Times New Roman" w:hAnsi="Times New Roman" w:cs="Times New Roman"/>
          <w:lang w:val="pl-PL"/>
        </w:rPr>
      </w:pPr>
      <w:r w:rsidRPr="000D08DE">
        <w:rPr>
          <w:rFonts w:ascii="Times New Roman" w:hAnsi="Times New Roman" w:cs="Times New Roman"/>
          <w:lang w:val="pl-PL"/>
        </w:rPr>
        <w:t xml:space="preserve">Wstępne odpowiedzi na </w:t>
      </w:r>
      <w:r w:rsidR="00D304B7">
        <w:rPr>
          <w:rFonts w:ascii="Times New Roman" w:hAnsi="Times New Roman" w:cs="Times New Roman"/>
          <w:lang w:val="pl-PL"/>
        </w:rPr>
        <w:t xml:space="preserve">wyłonione </w:t>
      </w:r>
      <w:r w:rsidRPr="000D08DE">
        <w:rPr>
          <w:rFonts w:ascii="Times New Roman" w:hAnsi="Times New Roman" w:cs="Times New Roman"/>
          <w:lang w:val="pl-PL"/>
        </w:rPr>
        <w:t>pytania badawcze</w:t>
      </w:r>
    </w:p>
    <w:p w14:paraId="73D7CA69" w14:textId="77777777" w:rsidR="00333E2F" w:rsidRPr="000D08DE" w:rsidRDefault="00333E2F" w:rsidP="00333E2F">
      <w:pPr>
        <w:rPr>
          <w:lang w:val="pl-PL"/>
        </w:rPr>
      </w:pPr>
    </w:p>
    <w:tbl>
      <w:tblPr>
        <w:tblW w:w="0" w:type="auto"/>
        <w:jc w:val="center"/>
        <w:tblLayout w:type="fixed"/>
        <w:tblLook w:val="04A0" w:firstRow="1" w:lastRow="0" w:firstColumn="1" w:lastColumn="0" w:noHBand="0" w:noVBand="1"/>
      </w:tblPr>
      <w:tblGrid>
        <w:gridCol w:w="2952"/>
        <w:gridCol w:w="7560"/>
      </w:tblGrid>
      <w:tr w:rsidR="002334FE" w:rsidRPr="000D08DE" w14:paraId="66132DD1" w14:textId="77777777">
        <w:trPr>
          <w:cantSplit/>
          <w:tblHeader/>
          <w:jc w:val="center"/>
        </w:trPr>
        <w:tc>
          <w:tcPr>
            <w:tcW w:w="2952" w:type="dxa"/>
            <w:shd w:val="clear" w:color="auto" w:fill="374151"/>
            <w:tcMar>
              <w:top w:w="100" w:type="dxa"/>
              <w:left w:w="110" w:type="dxa"/>
              <w:bottom w:w="100" w:type="dxa"/>
              <w:right w:w="110" w:type="dxa"/>
            </w:tcMar>
            <w:vAlign w:val="center"/>
          </w:tcPr>
          <w:p w14:paraId="7D54E98A"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b/>
                <w:color w:val="FFFFFF"/>
                <w:sz w:val="18"/>
                <w:lang w:val="pl-PL"/>
              </w:rPr>
              <w:t>Pytanie</w:t>
            </w:r>
          </w:p>
        </w:tc>
        <w:tc>
          <w:tcPr>
            <w:tcW w:w="7560" w:type="dxa"/>
            <w:shd w:val="clear" w:color="auto" w:fill="374151"/>
            <w:tcMar>
              <w:top w:w="100" w:type="dxa"/>
              <w:left w:w="110" w:type="dxa"/>
              <w:bottom w:w="100" w:type="dxa"/>
              <w:right w:w="110" w:type="dxa"/>
            </w:tcMar>
            <w:vAlign w:val="center"/>
          </w:tcPr>
          <w:p w14:paraId="3D905B81"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b/>
                <w:color w:val="FFFFFF"/>
                <w:sz w:val="18"/>
                <w:lang w:val="pl-PL"/>
              </w:rPr>
              <w:t>Wstępna odpowiedź</w:t>
            </w:r>
          </w:p>
        </w:tc>
      </w:tr>
      <w:tr w:rsidR="002334FE" w:rsidRPr="000D08DE" w14:paraId="6CEBA520" w14:textId="77777777">
        <w:trPr>
          <w:cantSplit/>
          <w:jc w:val="center"/>
        </w:trPr>
        <w:tc>
          <w:tcPr>
            <w:tcW w:w="2952" w:type="dxa"/>
            <w:tcMar>
              <w:top w:w="100" w:type="dxa"/>
              <w:left w:w="110" w:type="dxa"/>
              <w:bottom w:w="100" w:type="dxa"/>
              <w:right w:w="110" w:type="dxa"/>
            </w:tcMar>
            <w:vAlign w:val="center"/>
          </w:tcPr>
          <w:p w14:paraId="08D18F7C"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8"/>
                <w:lang w:val="pl-PL"/>
              </w:rPr>
              <w:t>W jakim stopniu kobiety są obecne?</w:t>
            </w:r>
          </w:p>
        </w:tc>
        <w:tc>
          <w:tcPr>
            <w:tcW w:w="7560" w:type="dxa"/>
            <w:tcMar>
              <w:top w:w="100" w:type="dxa"/>
              <w:left w:w="110" w:type="dxa"/>
              <w:bottom w:w="100" w:type="dxa"/>
              <w:right w:w="110" w:type="dxa"/>
            </w:tcMar>
            <w:vAlign w:val="center"/>
          </w:tcPr>
          <w:p w14:paraId="6A7A3261"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8"/>
                <w:lang w:val="pl-PL"/>
              </w:rPr>
              <w:t>W stopniu wyraźnie ograniczonym, lecz z dużym zróżnicowaniem między prowadzącymi. Częściej są wzmiankowane niż omawiane jako samodzielne autorki; niektóre kursy zawierają jednak rozbudowane wyjątki.</w:t>
            </w:r>
          </w:p>
        </w:tc>
      </w:tr>
      <w:tr w:rsidR="002334FE" w:rsidRPr="000D08DE" w14:paraId="572E0DF3" w14:textId="77777777">
        <w:trPr>
          <w:cantSplit/>
          <w:jc w:val="center"/>
        </w:trPr>
        <w:tc>
          <w:tcPr>
            <w:tcW w:w="2952" w:type="dxa"/>
            <w:shd w:val="clear" w:color="auto" w:fill="F3F4F6"/>
            <w:tcMar>
              <w:top w:w="100" w:type="dxa"/>
              <w:left w:w="110" w:type="dxa"/>
              <w:bottom w:w="100" w:type="dxa"/>
              <w:right w:w="110" w:type="dxa"/>
            </w:tcMar>
            <w:vAlign w:val="center"/>
          </w:tcPr>
          <w:p w14:paraId="272AC06D"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8"/>
                <w:lang w:val="pl-PL"/>
              </w:rPr>
              <w:t>Jak konstruowany jest kanon?</w:t>
            </w:r>
          </w:p>
        </w:tc>
        <w:tc>
          <w:tcPr>
            <w:tcW w:w="7560" w:type="dxa"/>
            <w:shd w:val="clear" w:color="auto" w:fill="F3F4F6"/>
            <w:tcMar>
              <w:top w:w="100" w:type="dxa"/>
              <w:left w:w="110" w:type="dxa"/>
              <w:bottom w:w="100" w:type="dxa"/>
              <w:right w:w="110" w:type="dxa"/>
            </w:tcMar>
            <w:vAlign w:val="center"/>
          </w:tcPr>
          <w:p w14:paraId="2E24DC8E"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8"/>
                <w:lang w:val="pl-PL"/>
              </w:rPr>
              <w:t>Przez połączenie kryterium wpływu z dziedziczonym podręcznikiem, egzaminem, chronologią, tradycją katedry i specjalizacją wykładowcy. Deklarowana autonomia jest większa niż faktyczna zmienność repertuaru.</w:t>
            </w:r>
          </w:p>
        </w:tc>
      </w:tr>
      <w:tr w:rsidR="002334FE" w:rsidRPr="000D08DE" w14:paraId="487DD826" w14:textId="77777777">
        <w:trPr>
          <w:cantSplit/>
          <w:jc w:val="center"/>
        </w:trPr>
        <w:tc>
          <w:tcPr>
            <w:tcW w:w="2952" w:type="dxa"/>
            <w:tcMar>
              <w:top w:w="100" w:type="dxa"/>
              <w:left w:w="110" w:type="dxa"/>
              <w:bottom w:w="100" w:type="dxa"/>
              <w:right w:w="110" w:type="dxa"/>
            </w:tcMar>
            <w:vAlign w:val="center"/>
          </w:tcPr>
          <w:p w14:paraId="1CD9FF5E"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8"/>
                <w:lang w:val="pl-PL"/>
              </w:rPr>
              <w:t>Dlaczego kobiet jest mało?</w:t>
            </w:r>
          </w:p>
        </w:tc>
        <w:tc>
          <w:tcPr>
            <w:tcW w:w="7560" w:type="dxa"/>
            <w:tcMar>
              <w:top w:w="100" w:type="dxa"/>
              <w:left w:w="110" w:type="dxa"/>
              <w:bottom w:w="100" w:type="dxa"/>
              <w:right w:w="110" w:type="dxa"/>
            </w:tcMar>
            <w:vAlign w:val="center"/>
          </w:tcPr>
          <w:p w14:paraId="722675B0"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8"/>
                <w:lang w:val="pl-PL"/>
              </w:rPr>
              <w:t>Rozmówcy wskazują historyczne ograniczenia, brak czasu, mniejszą rozpoznawalność autorek, niedostatek opracowań, maskulinizację środowiska i przyzwyczajenie. Część uznaje niedobór za fakt historyczny; część widzi w nim także skutek sposobu tworzenia wiedzy.</w:t>
            </w:r>
          </w:p>
        </w:tc>
      </w:tr>
      <w:tr w:rsidR="002334FE" w:rsidRPr="000D08DE" w14:paraId="3BB392DD" w14:textId="77777777">
        <w:trPr>
          <w:cantSplit/>
          <w:jc w:val="center"/>
        </w:trPr>
        <w:tc>
          <w:tcPr>
            <w:tcW w:w="2952" w:type="dxa"/>
            <w:shd w:val="clear" w:color="auto" w:fill="F3F4F6"/>
            <w:tcMar>
              <w:top w:w="100" w:type="dxa"/>
              <w:left w:w="110" w:type="dxa"/>
              <w:bottom w:w="100" w:type="dxa"/>
              <w:right w:w="110" w:type="dxa"/>
            </w:tcMar>
            <w:vAlign w:val="center"/>
          </w:tcPr>
          <w:p w14:paraId="1EDA0359"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8"/>
                <w:lang w:val="pl-PL"/>
              </w:rPr>
              <w:t>Jaką rolę odgrywają podręczniki?</w:t>
            </w:r>
          </w:p>
        </w:tc>
        <w:tc>
          <w:tcPr>
            <w:tcW w:w="7560" w:type="dxa"/>
            <w:shd w:val="clear" w:color="auto" w:fill="F3F4F6"/>
            <w:tcMar>
              <w:top w:w="100" w:type="dxa"/>
              <w:left w:w="110" w:type="dxa"/>
              <w:bottom w:w="100" w:type="dxa"/>
              <w:right w:w="110" w:type="dxa"/>
            </w:tcMar>
            <w:vAlign w:val="center"/>
          </w:tcPr>
          <w:p w14:paraId="2CBF2322"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8"/>
                <w:lang w:val="pl-PL"/>
              </w:rPr>
              <w:t>Są krytykowane i rzadziej czytane, ale nadal pośrednio stabilizują listę postaci przez sylabusy, egzaminy i przygotowanie zajęć. Materiały autorskie umożliwiają korektę, lecz czynią ją zależną od jednostki.</w:t>
            </w:r>
          </w:p>
        </w:tc>
      </w:tr>
      <w:tr w:rsidR="002334FE" w:rsidRPr="000D08DE" w14:paraId="456B7535" w14:textId="77777777">
        <w:trPr>
          <w:cantSplit/>
          <w:jc w:val="center"/>
        </w:trPr>
        <w:tc>
          <w:tcPr>
            <w:tcW w:w="2952" w:type="dxa"/>
            <w:tcMar>
              <w:top w:w="100" w:type="dxa"/>
              <w:left w:w="110" w:type="dxa"/>
              <w:bottom w:w="100" w:type="dxa"/>
              <w:right w:w="110" w:type="dxa"/>
            </w:tcMar>
            <w:vAlign w:val="center"/>
          </w:tcPr>
          <w:p w14:paraId="7315F502"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8"/>
                <w:lang w:val="pl-PL"/>
              </w:rPr>
              <w:t>Czy zmiana jest pożądana?</w:t>
            </w:r>
          </w:p>
        </w:tc>
        <w:tc>
          <w:tcPr>
            <w:tcW w:w="7560" w:type="dxa"/>
            <w:tcMar>
              <w:top w:w="100" w:type="dxa"/>
              <w:left w:w="110" w:type="dxa"/>
              <w:bottom w:w="100" w:type="dxa"/>
              <w:right w:w="110" w:type="dxa"/>
            </w:tcMar>
            <w:vAlign w:val="center"/>
          </w:tcPr>
          <w:p w14:paraId="2C654DEE" w14:textId="12036635"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8"/>
                <w:lang w:val="pl-PL"/>
              </w:rPr>
              <w:t>Dominuje poparcie warunkowe lub ewolucyjne, ale nie ma zgody co do</w:t>
            </w:r>
            <w:r w:rsidRPr="000D08DE">
              <w:rPr>
                <w:rFonts w:ascii="Times New Roman" w:hAnsi="Times New Roman" w:cs="Times New Roman"/>
                <w:color w:val="000000"/>
                <w:sz w:val="18"/>
                <w:lang w:val="pl-PL"/>
              </w:rPr>
              <w:t xml:space="preserve"> uzasadnienia </w:t>
            </w:r>
            <w:r w:rsidR="00D304B7">
              <w:rPr>
                <w:rFonts w:ascii="Times New Roman" w:hAnsi="Times New Roman" w:cs="Times New Roman"/>
                <w:color w:val="000000"/>
                <w:sz w:val="18"/>
                <w:lang w:val="pl-PL"/>
              </w:rPr>
              <w:t xml:space="preserve">zmiany </w:t>
            </w:r>
            <w:r w:rsidRPr="000D08DE">
              <w:rPr>
                <w:rFonts w:ascii="Times New Roman" w:hAnsi="Times New Roman" w:cs="Times New Roman"/>
                <w:color w:val="000000"/>
                <w:sz w:val="18"/>
                <w:lang w:val="pl-PL"/>
              </w:rPr>
              <w:t xml:space="preserve">i </w:t>
            </w:r>
            <w:r w:rsidR="00D304B7">
              <w:rPr>
                <w:rFonts w:ascii="Times New Roman" w:hAnsi="Times New Roman" w:cs="Times New Roman"/>
                <w:color w:val="000000"/>
                <w:sz w:val="18"/>
                <w:lang w:val="pl-PL"/>
              </w:rPr>
              <w:t xml:space="preserve">jej </w:t>
            </w:r>
            <w:r w:rsidRPr="000D08DE">
              <w:rPr>
                <w:rFonts w:ascii="Times New Roman" w:hAnsi="Times New Roman" w:cs="Times New Roman"/>
                <w:color w:val="000000"/>
                <w:sz w:val="18"/>
                <w:lang w:val="pl-PL"/>
              </w:rPr>
              <w:t>formy. Największy opór wywołują parytet, odgórność i ryzyko prezentyzmu; największą akceptację — dobre materiały, problemowa narracja i włączanie autorek tam, gdzie ich myśl wyjaśnia dany nurt.</w:t>
            </w:r>
          </w:p>
        </w:tc>
      </w:tr>
      <w:tr w:rsidR="002334FE" w:rsidRPr="000D08DE" w14:paraId="29700035" w14:textId="77777777">
        <w:trPr>
          <w:cantSplit/>
          <w:jc w:val="center"/>
        </w:trPr>
        <w:tc>
          <w:tcPr>
            <w:tcW w:w="2952" w:type="dxa"/>
            <w:shd w:val="clear" w:color="auto" w:fill="F3F4F6"/>
            <w:tcMar>
              <w:top w:w="100" w:type="dxa"/>
              <w:left w:w="110" w:type="dxa"/>
              <w:bottom w:w="100" w:type="dxa"/>
              <w:right w:w="110" w:type="dxa"/>
            </w:tcMar>
            <w:vAlign w:val="center"/>
          </w:tcPr>
          <w:p w14:paraId="467C529D"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8"/>
                <w:lang w:val="pl-PL"/>
              </w:rPr>
              <w:t>Co wnosi sam projekt?</w:t>
            </w:r>
          </w:p>
        </w:tc>
        <w:tc>
          <w:tcPr>
            <w:tcW w:w="7560" w:type="dxa"/>
            <w:shd w:val="clear" w:color="auto" w:fill="F3F4F6"/>
            <w:tcMar>
              <w:top w:w="100" w:type="dxa"/>
              <w:left w:w="110" w:type="dxa"/>
              <w:bottom w:w="100" w:type="dxa"/>
              <w:right w:w="110" w:type="dxa"/>
            </w:tcMar>
            <w:vAlign w:val="center"/>
          </w:tcPr>
          <w:p w14:paraId="2A7A1B24" w14:textId="77777777" w:rsidR="002334FE" w:rsidRPr="000D08DE" w:rsidRDefault="00440E91">
            <w:pPr>
              <w:spacing w:after="0" w:line="252" w:lineRule="auto"/>
              <w:rPr>
                <w:rFonts w:ascii="Times New Roman" w:hAnsi="Times New Roman" w:cs="Times New Roman"/>
                <w:lang w:val="pl-PL"/>
              </w:rPr>
            </w:pPr>
            <w:r w:rsidRPr="000D08DE">
              <w:rPr>
                <w:rFonts w:ascii="Times New Roman" w:hAnsi="Times New Roman" w:cs="Times New Roman"/>
                <w:color w:val="000000"/>
                <w:sz w:val="18"/>
                <w:lang w:val="pl-PL"/>
              </w:rPr>
              <w:t>Nie tylko opisuje praktyki, lecz w części rozmów uruchamia refleksję dydaktyczną. Ten efekt należy analizować jako rezultat badania, ale także uwzględnić jako element reaktywności wywiadu.</w:t>
            </w:r>
          </w:p>
        </w:tc>
      </w:tr>
    </w:tbl>
    <w:p w14:paraId="48C4B9B6" w14:textId="77777777" w:rsidR="002334FE" w:rsidRPr="000D08DE" w:rsidRDefault="002334FE">
      <w:pPr>
        <w:spacing w:after="20"/>
        <w:rPr>
          <w:rFonts w:ascii="Times New Roman" w:hAnsi="Times New Roman" w:cs="Times New Roman"/>
          <w:lang w:val="pl-PL"/>
        </w:rPr>
      </w:pPr>
    </w:p>
    <w:p w14:paraId="40441B35" w14:textId="724BA482" w:rsidR="002334FE" w:rsidRPr="000D08DE" w:rsidRDefault="00440E91" w:rsidP="0094164B">
      <w:pPr>
        <w:pStyle w:val="Nagwek1"/>
        <w:numPr>
          <w:ilvl w:val="0"/>
          <w:numId w:val="10"/>
        </w:numPr>
        <w:rPr>
          <w:rFonts w:ascii="Times New Roman" w:hAnsi="Times New Roman" w:cs="Times New Roman"/>
          <w:lang w:val="pl-PL"/>
        </w:rPr>
      </w:pPr>
      <w:r w:rsidRPr="000D08DE">
        <w:rPr>
          <w:rFonts w:ascii="Times New Roman" w:hAnsi="Times New Roman" w:cs="Times New Roman"/>
          <w:lang w:val="pl-PL"/>
        </w:rPr>
        <w:t xml:space="preserve">Hipotezy robocze do </w:t>
      </w:r>
      <w:r w:rsidR="006B6742" w:rsidRPr="000D08DE">
        <w:rPr>
          <w:rFonts w:ascii="Times New Roman" w:hAnsi="Times New Roman" w:cs="Times New Roman"/>
          <w:lang w:val="pl-PL"/>
        </w:rPr>
        <w:t>dalszych badań</w:t>
      </w:r>
    </w:p>
    <w:p w14:paraId="0FD48F4E" w14:textId="77777777" w:rsidR="002334FE" w:rsidRPr="000D08DE" w:rsidRDefault="00440E91">
      <w:pPr>
        <w:pStyle w:val="Listapunktowana"/>
        <w:rPr>
          <w:rFonts w:ascii="Times New Roman" w:hAnsi="Times New Roman" w:cs="Times New Roman"/>
          <w:lang w:val="pl-PL"/>
        </w:rPr>
      </w:pPr>
      <w:proofErr w:type="spellStart"/>
      <w:r w:rsidRPr="000D08DE">
        <w:rPr>
          <w:rFonts w:ascii="Times New Roman" w:hAnsi="Times New Roman" w:cs="Times New Roman"/>
          <w:lang w:val="pl-PL"/>
        </w:rPr>
        <w:t>Niedoreprezentowanie</w:t>
      </w:r>
      <w:proofErr w:type="spellEnd"/>
      <w:r w:rsidRPr="000D08DE">
        <w:rPr>
          <w:rFonts w:ascii="Times New Roman" w:hAnsi="Times New Roman" w:cs="Times New Roman"/>
          <w:lang w:val="pl-PL"/>
        </w:rPr>
        <w:t xml:space="preserve"> kobiet jest reprodukowane nie tylko przez treść podręczników, lecz także przez egzamin, chronologiczną strukturę kursu i dziedziczenie programu.</w:t>
      </w:r>
    </w:p>
    <w:p w14:paraId="688A6F03" w14:textId="77777777" w:rsidR="002334FE" w:rsidRPr="000D08DE" w:rsidRDefault="00440E91">
      <w:pPr>
        <w:pStyle w:val="Listapunktowana"/>
        <w:rPr>
          <w:rFonts w:ascii="Times New Roman" w:hAnsi="Times New Roman" w:cs="Times New Roman"/>
          <w:lang w:val="pl-PL"/>
        </w:rPr>
      </w:pPr>
      <w:r w:rsidRPr="000D08DE">
        <w:rPr>
          <w:rFonts w:ascii="Times New Roman" w:hAnsi="Times New Roman" w:cs="Times New Roman"/>
          <w:lang w:val="pl-PL"/>
        </w:rPr>
        <w:lastRenderedPageBreak/>
        <w:t>Kanon ma charakter samowzmacniający: postacie uznane za wpływowe są częściej badane i nauczane, a częstsze nauczanie potwierdza ich status jako wpływowych.</w:t>
      </w:r>
    </w:p>
    <w:p w14:paraId="21D1B177" w14:textId="77777777" w:rsidR="002334FE" w:rsidRPr="000D08DE" w:rsidRDefault="00440E91">
      <w:pPr>
        <w:pStyle w:val="Listapunktowana"/>
        <w:rPr>
          <w:rFonts w:ascii="Times New Roman" w:hAnsi="Times New Roman" w:cs="Times New Roman"/>
          <w:lang w:val="pl-PL"/>
        </w:rPr>
      </w:pPr>
      <w:r w:rsidRPr="000D08DE">
        <w:rPr>
          <w:rFonts w:ascii="Times New Roman" w:hAnsi="Times New Roman" w:cs="Times New Roman"/>
          <w:lang w:val="pl-PL"/>
        </w:rPr>
        <w:t>Najczęstszą formą symbolicznego włączenia jest wzmianka, która zwiększa widzialność, ale nie zmienia hierarchii kanonu.</w:t>
      </w:r>
    </w:p>
    <w:p w14:paraId="0491E0E0" w14:textId="77777777" w:rsidR="002334FE" w:rsidRPr="000D08DE" w:rsidRDefault="00440E91">
      <w:pPr>
        <w:pStyle w:val="Listapunktowana"/>
        <w:rPr>
          <w:rFonts w:ascii="Times New Roman" w:hAnsi="Times New Roman" w:cs="Times New Roman"/>
          <w:lang w:val="pl-PL"/>
        </w:rPr>
      </w:pPr>
      <w:r w:rsidRPr="000D08DE">
        <w:rPr>
          <w:rFonts w:ascii="Times New Roman" w:hAnsi="Times New Roman" w:cs="Times New Roman"/>
          <w:lang w:val="pl-PL"/>
        </w:rPr>
        <w:t>Wydzielanie feminizmu zwiększa obecność kobiet, lecz może zarazem sugerować, że ich myśl należy do odrębnej historii, a nie do liberalizmu, socjalizmu, republikanizmu, anarchizmu czy refleksji konstytucyjnej.</w:t>
      </w:r>
    </w:p>
    <w:p w14:paraId="6B6C9F27" w14:textId="77777777" w:rsidR="002334FE" w:rsidRPr="000D08DE" w:rsidRDefault="00440E91">
      <w:pPr>
        <w:pStyle w:val="Listapunktowana"/>
        <w:rPr>
          <w:rFonts w:ascii="Times New Roman" w:hAnsi="Times New Roman" w:cs="Times New Roman"/>
          <w:lang w:val="pl-PL"/>
        </w:rPr>
      </w:pPr>
      <w:r w:rsidRPr="000D08DE">
        <w:rPr>
          <w:rFonts w:ascii="Times New Roman" w:hAnsi="Times New Roman" w:cs="Times New Roman"/>
          <w:lang w:val="pl-PL"/>
        </w:rPr>
        <w:t>Przebudowa problemowa kursu może sprzyjać włączeniu kobiet bardziej niż proste dopisywanie kolejnych nazwisk do układu chronologicznego.</w:t>
      </w:r>
    </w:p>
    <w:p w14:paraId="41229AB2" w14:textId="77777777" w:rsidR="002334FE" w:rsidRPr="000D08DE" w:rsidRDefault="00440E91">
      <w:pPr>
        <w:pStyle w:val="Listapunktowana"/>
        <w:rPr>
          <w:rFonts w:ascii="Times New Roman" w:hAnsi="Times New Roman" w:cs="Times New Roman"/>
          <w:lang w:val="pl-PL"/>
        </w:rPr>
      </w:pPr>
      <w:r w:rsidRPr="000D08DE">
        <w:rPr>
          <w:rFonts w:ascii="Times New Roman" w:hAnsi="Times New Roman" w:cs="Times New Roman"/>
          <w:lang w:val="pl-PL"/>
        </w:rPr>
        <w:t>Sam wywiad badawczy działa jako interwencja refleksyjna i może uruchamiać niewielkie zmiany w dydaktyce.</w:t>
      </w:r>
    </w:p>
    <w:p w14:paraId="2FE5D1D4" w14:textId="77777777" w:rsidR="00333E2F" w:rsidRPr="000D08DE" w:rsidRDefault="00333E2F" w:rsidP="00333E2F">
      <w:pPr>
        <w:pStyle w:val="Listapunktowana"/>
        <w:numPr>
          <w:ilvl w:val="0"/>
          <w:numId w:val="0"/>
        </w:numPr>
        <w:ind w:left="360"/>
        <w:rPr>
          <w:rFonts w:ascii="Times New Roman" w:hAnsi="Times New Roman" w:cs="Times New Roman"/>
          <w:lang w:val="pl-PL"/>
        </w:rPr>
      </w:pPr>
    </w:p>
    <w:p w14:paraId="67957E58" w14:textId="76B5D37E" w:rsidR="002334FE" w:rsidRPr="000D08DE" w:rsidRDefault="00440E91" w:rsidP="0094164B">
      <w:pPr>
        <w:pStyle w:val="Nagwek1"/>
        <w:numPr>
          <w:ilvl w:val="0"/>
          <w:numId w:val="10"/>
        </w:numPr>
        <w:rPr>
          <w:rFonts w:ascii="Times New Roman" w:hAnsi="Times New Roman" w:cs="Times New Roman"/>
          <w:lang w:val="pl-PL"/>
        </w:rPr>
      </w:pPr>
      <w:r w:rsidRPr="000D08DE">
        <w:rPr>
          <w:rFonts w:ascii="Times New Roman" w:hAnsi="Times New Roman" w:cs="Times New Roman"/>
          <w:lang w:val="pl-PL"/>
        </w:rPr>
        <w:t>Ograniczenia i decyzje metodologiczne</w:t>
      </w:r>
    </w:p>
    <w:p w14:paraId="6D1CF472" w14:textId="77777777" w:rsidR="002334FE" w:rsidRPr="000D08DE" w:rsidRDefault="00440E91">
      <w:pPr>
        <w:pStyle w:val="Listapunktowana"/>
        <w:rPr>
          <w:rFonts w:ascii="Times New Roman" w:hAnsi="Times New Roman" w:cs="Times New Roman"/>
          <w:lang w:val="pl-PL"/>
        </w:rPr>
      </w:pPr>
      <w:r w:rsidRPr="000D08DE">
        <w:rPr>
          <w:rFonts w:ascii="Times New Roman" w:hAnsi="Times New Roman" w:cs="Times New Roman"/>
          <w:lang w:val="pl-PL"/>
        </w:rPr>
        <w:t xml:space="preserve">Próba jest celowa i obejmuje osoby, które zgodziły się na rozmowę; może więc </w:t>
      </w:r>
      <w:proofErr w:type="spellStart"/>
      <w:r w:rsidRPr="000D08DE">
        <w:rPr>
          <w:rFonts w:ascii="Times New Roman" w:hAnsi="Times New Roman" w:cs="Times New Roman"/>
          <w:lang w:val="pl-PL"/>
        </w:rPr>
        <w:t>nadreprezentować</w:t>
      </w:r>
      <w:proofErr w:type="spellEnd"/>
      <w:r w:rsidRPr="000D08DE">
        <w:rPr>
          <w:rFonts w:ascii="Times New Roman" w:hAnsi="Times New Roman" w:cs="Times New Roman"/>
          <w:lang w:val="pl-PL"/>
        </w:rPr>
        <w:t xml:space="preserve"> wykładowców bardziej refleksyjnych lub zainteresowanych tematem.</w:t>
      </w:r>
    </w:p>
    <w:p w14:paraId="0ADAAAA2" w14:textId="77777777" w:rsidR="002334FE" w:rsidRPr="000D08DE" w:rsidRDefault="00440E91">
      <w:pPr>
        <w:pStyle w:val="Listapunktowana"/>
        <w:rPr>
          <w:rFonts w:ascii="Times New Roman" w:hAnsi="Times New Roman" w:cs="Times New Roman"/>
          <w:lang w:val="pl-PL"/>
        </w:rPr>
      </w:pPr>
      <w:r w:rsidRPr="000D08DE">
        <w:rPr>
          <w:rFonts w:ascii="Times New Roman" w:hAnsi="Times New Roman" w:cs="Times New Roman"/>
          <w:lang w:val="pl-PL"/>
        </w:rPr>
        <w:t>Rozmówcy różnią się stanowiskiem, etapem kariery, rodzajem prowadzonych zajęć i liczbą godzin; odpowiedzi nie dotyczą jednorodnych kursów.</w:t>
      </w:r>
    </w:p>
    <w:p w14:paraId="01D0CE04" w14:textId="77777777" w:rsidR="002334FE" w:rsidRPr="000D08DE" w:rsidRDefault="00440E91">
      <w:pPr>
        <w:pStyle w:val="Listapunktowana"/>
        <w:rPr>
          <w:rFonts w:ascii="Times New Roman" w:hAnsi="Times New Roman" w:cs="Times New Roman"/>
          <w:lang w:val="pl-PL"/>
        </w:rPr>
      </w:pPr>
      <w:r w:rsidRPr="000D08DE">
        <w:rPr>
          <w:rFonts w:ascii="Times New Roman" w:hAnsi="Times New Roman" w:cs="Times New Roman"/>
          <w:lang w:val="pl-PL"/>
        </w:rPr>
        <w:t>Wspólna rozmowa P01 i P02 ma wartość dialogową, lecz ich wypowiedzi nie są całkowicie niezależne.</w:t>
      </w:r>
    </w:p>
    <w:p w14:paraId="427C15AB" w14:textId="77777777" w:rsidR="002334FE" w:rsidRPr="000D08DE" w:rsidRDefault="00440E91">
      <w:pPr>
        <w:pStyle w:val="Listapunktowana"/>
        <w:rPr>
          <w:rFonts w:ascii="Times New Roman" w:hAnsi="Times New Roman" w:cs="Times New Roman"/>
          <w:lang w:val="pl-PL"/>
        </w:rPr>
      </w:pPr>
      <w:r w:rsidRPr="000D08DE">
        <w:rPr>
          <w:rFonts w:ascii="Times New Roman" w:hAnsi="Times New Roman" w:cs="Times New Roman"/>
          <w:lang w:val="pl-PL"/>
        </w:rPr>
        <w:t>P15 opiera się na szczątkowej notatce, a nie transkrypcji. Może służyć do potwierdzania zapisanych tematów i przypadków rozbieżnych, ale nie do wnioskowania o pełnym zakresie wypowiedzi ani do porównywania liczby kodów między rozmówcami.</w:t>
      </w:r>
    </w:p>
    <w:p w14:paraId="2582FF27" w14:textId="0E92B934" w:rsidR="002334FE" w:rsidRPr="000D08DE" w:rsidRDefault="002334FE">
      <w:pPr>
        <w:rPr>
          <w:rFonts w:ascii="Times New Roman" w:hAnsi="Times New Roman" w:cs="Times New Roman"/>
          <w:lang w:val="pl-PL"/>
        </w:rPr>
      </w:pPr>
    </w:p>
    <w:sectPr w:rsidR="002334FE" w:rsidRPr="000D08DE" w:rsidSect="00034616">
      <w:footerReference w:type="default" r:id="rId8"/>
      <w:pgSz w:w="12240" w:h="15840"/>
      <w:pgMar w:top="1080" w:right="1123" w:bottom="1037" w:left="1123"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4A5007E" w14:textId="77777777" w:rsidR="00440E91" w:rsidRDefault="00440E91">
      <w:pPr>
        <w:spacing w:after="0" w:line="240" w:lineRule="auto"/>
      </w:pPr>
      <w:r>
        <w:separator/>
      </w:r>
    </w:p>
  </w:endnote>
  <w:endnote w:type="continuationSeparator" w:id="0">
    <w:p w14:paraId="077AC857" w14:textId="77777777" w:rsidR="00440E91" w:rsidRDefault="00440E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8F6749C" w14:textId="77777777" w:rsidR="002334FE" w:rsidRDefault="00440E91">
    <w:pPr>
      <w:pStyle w:val="Stopka"/>
      <w:jc w:val="center"/>
    </w:pPr>
    <w:r>
      <w:rPr>
        <w:color w:val="6B7280"/>
        <w:sz w:val="18"/>
      </w:rPr>
      <w:fldChar w:fldCharType="begin"/>
    </w:r>
    <w:r>
      <w:rPr>
        <w:color w:val="6B7280"/>
        <w:sz w:val="18"/>
      </w:rPr>
      <w:instrText>PAGE</w:instrText>
    </w:r>
    <w:r w:rsidR="00A6683E">
      <w:rPr>
        <w:color w:val="6B7280"/>
        <w:sz w:val="18"/>
      </w:rPr>
      <w:fldChar w:fldCharType="separate"/>
    </w:r>
    <w:r w:rsidR="00A6683E">
      <w:rPr>
        <w:noProof/>
        <w:color w:val="6B7280"/>
        <w:sz w:val="18"/>
      </w:rPr>
      <w:t>1</w:t>
    </w:r>
    <w:r>
      <w:rPr>
        <w:color w:val="6B7280"/>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2EA2266" w14:textId="77777777" w:rsidR="00440E91" w:rsidRDefault="00440E91">
      <w:pPr>
        <w:spacing w:after="0" w:line="240" w:lineRule="auto"/>
      </w:pPr>
      <w:r>
        <w:separator/>
      </w:r>
    </w:p>
  </w:footnote>
  <w:footnote w:type="continuationSeparator" w:id="0">
    <w:p w14:paraId="2DFBB895" w14:textId="77777777" w:rsidR="00440E91" w:rsidRDefault="00440E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numerowan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numerowan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punktowana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punktowana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numerowan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punktowana"/>
      <w:lvlText w:val=""/>
      <w:lvlJc w:val="left"/>
      <w:pPr>
        <w:tabs>
          <w:tab w:val="num" w:pos="360"/>
        </w:tabs>
        <w:ind w:left="360" w:hanging="360"/>
      </w:pPr>
      <w:rPr>
        <w:rFonts w:ascii="Symbol" w:hAnsi="Symbol" w:hint="default"/>
      </w:rPr>
    </w:lvl>
  </w:abstractNum>
  <w:abstractNum w:abstractNumId="9" w15:restartNumberingAfterBreak="0">
    <w:nsid w:val="52584BF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B813EB7"/>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65675743">
    <w:abstractNumId w:val="8"/>
  </w:num>
  <w:num w:numId="2" w16cid:durableId="2095008280">
    <w:abstractNumId w:val="6"/>
  </w:num>
  <w:num w:numId="3" w16cid:durableId="1821342378">
    <w:abstractNumId w:val="5"/>
  </w:num>
  <w:num w:numId="4" w16cid:durableId="1319964016">
    <w:abstractNumId w:val="4"/>
  </w:num>
  <w:num w:numId="5" w16cid:durableId="1777678602">
    <w:abstractNumId w:val="7"/>
  </w:num>
  <w:num w:numId="6" w16cid:durableId="1674184913">
    <w:abstractNumId w:val="3"/>
  </w:num>
  <w:num w:numId="7" w16cid:durableId="35206437">
    <w:abstractNumId w:val="2"/>
  </w:num>
  <w:num w:numId="8" w16cid:durableId="1798644372">
    <w:abstractNumId w:val="1"/>
  </w:num>
  <w:num w:numId="9" w16cid:durableId="592589725">
    <w:abstractNumId w:val="0"/>
  </w:num>
  <w:num w:numId="10" w16cid:durableId="1492217221">
    <w:abstractNumId w:val="9"/>
  </w:num>
  <w:num w:numId="11" w16cid:durableId="598759058">
    <w:abstractNumId w:val="1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69F8"/>
    <w:rsid w:val="00034616"/>
    <w:rsid w:val="00037C7B"/>
    <w:rsid w:val="000462A7"/>
    <w:rsid w:val="0006063C"/>
    <w:rsid w:val="000D08DE"/>
    <w:rsid w:val="000E5BBF"/>
    <w:rsid w:val="00107C49"/>
    <w:rsid w:val="0015074B"/>
    <w:rsid w:val="002334FE"/>
    <w:rsid w:val="002559B3"/>
    <w:rsid w:val="0029639D"/>
    <w:rsid w:val="00321383"/>
    <w:rsid w:val="00326F90"/>
    <w:rsid w:val="00333E2F"/>
    <w:rsid w:val="003C7D38"/>
    <w:rsid w:val="003D2994"/>
    <w:rsid w:val="003E72AC"/>
    <w:rsid w:val="00440E91"/>
    <w:rsid w:val="00470708"/>
    <w:rsid w:val="004B2359"/>
    <w:rsid w:val="004E4A04"/>
    <w:rsid w:val="00573765"/>
    <w:rsid w:val="006017AC"/>
    <w:rsid w:val="00612B53"/>
    <w:rsid w:val="006A2BB2"/>
    <w:rsid w:val="006B6742"/>
    <w:rsid w:val="00716A79"/>
    <w:rsid w:val="00756B27"/>
    <w:rsid w:val="00806649"/>
    <w:rsid w:val="008145C4"/>
    <w:rsid w:val="00823824"/>
    <w:rsid w:val="0089333B"/>
    <w:rsid w:val="008B69B9"/>
    <w:rsid w:val="0094164B"/>
    <w:rsid w:val="0096408D"/>
    <w:rsid w:val="009E4A1F"/>
    <w:rsid w:val="00A3350C"/>
    <w:rsid w:val="00A41CD7"/>
    <w:rsid w:val="00A6683E"/>
    <w:rsid w:val="00A863D2"/>
    <w:rsid w:val="00AA1D8D"/>
    <w:rsid w:val="00B17E07"/>
    <w:rsid w:val="00B47730"/>
    <w:rsid w:val="00B93391"/>
    <w:rsid w:val="00BE1C92"/>
    <w:rsid w:val="00C07546"/>
    <w:rsid w:val="00CB0664"/>
    <w:rsid w:val="00CB132D"/>
    <w:rsid w:val="00CB5C3F"/>
    <w:rsid w:val="00CC03E6"/>
    <w:rsid w:val="00D304B7"/>
    <w:rsid w:val="00DB06B6"/>
    <w:rsid w:val="00E206E2"/>
    <w:rsid w:val="00E37AAC"/>
    <w:rsid w:val="00E605D1"/>
    <w:rsid w:val="00EE01BF"/>
    <w:rsid w:val="00F671DC"/>
    <w:rsid w:val="00F8468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4A5235"/>
  <w14:defaultImageDpi w14:val="300"/>
  <w15:docId w15:val="{DD8F4204-B3B5-D146-BD95-854033CD0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693F"/>
    <w:pPr>
      <w:spacing w:after="120" w:line="269" w:lineRule="auto"/>
    </w:pPr>
    <w:rPr>
      <w:rFonts w:ascii="Aptos" w:hAnsi="Aptos"/>
      <w:sz w:val="21"/>
    </w:rPr>
  </w:style>
  <w:style w:type="paragraph" w:styleId="Nagwek1">
    <w:name w:val="heading 1"/>
    <w:basedOn w:val="Normalny"/>
    <w:next w:val="Normalny"/>
    <w:link w:val="Nagwek1Znak"/>
    <w:uiPriority w:val="9"/>
    <w:qFormat/>
    <w:rsid w:val="00FC693F"/>
    <w:pPr>
      <w:keepNext/>
      <w:keepLines/>
      <w:spacing w:before="240" w:after="100"/>
      <w:outlineLvl w:val="0"/>
    </w:pPr>
    <w:rPr>
      <w:rFonts w:asciiTheme="majorHAnsi" w:eastAsiaTheme="majorEastAsia" w:hAnsiTheme="majorHAnsi" w:cstheme="majorBidi"/>
      <w:b/>
      <w:bCs/>
      <w:color w:val="000000"/>
      <w:sz w:val="32"/>
      <w:szCs w:val="28"/>
    </w:rPr>
  </w:style>
  <w:style w:type="paragraph" w:styleId="Nagwek2">
    <w:name w:val="heading 2"/>
    <w:basedOn w:val="Normalny"/>
    <w:next w:val="Normalny"/>
    <w:link w:val="Nagwek2Znak"/>
    <w:uiPriority w:val="9"/>
    <w:unhideWhenUsed/>
    <w:qFormat/>
    <w:rsid w:val="00FC693F"/>
    <w:pPr>
      <w:keepNext/>
      <w:keepLines/>
      <w:spacing w:before="240" w:after="100"/>
      <w:outlineLvl w:val="1"/>
    </w:pPr>
    <w:rPr>
      <w:rFonts w:asciiTheme="majorHAnsi" w:eastAsiaTheme="majorEastAsia" w:hAnsiTheme="majorHAnsi" w:cstheme="majorBidi"/>
      <w:b/>
      <w:bCs/>
      <w:color w:val="000000"/>
      <w:sz w:val="25"/>
      <w:szCs w:val="26"/>
    </w:rPr>
  </w:style>
  <w:style w:type="paragraph" w:styleId="Nagwek3">
    <w:name w:val="heading 3"/>
    <w:basedOn w:val="Normalny"/>
    <w:next w:val="Normalny"/>
    <w:link w:val="Nagwek3Znak"/>
    <w:uiPriority w:val="9"/>
    <w:unhideWhenUsed/>
    <w:qFormat/>
    <w:rsid w:val="00FC693F"/>
    <w:pPr>
      <w:keepNext/>
      <w:keepLines/>
      <w:spacing w:before="240" w:after="100"/>
      <w:outlineLvl w:val="2"/>
    </w:pPr>
    <w:rPr>
      <w:rFonts w:asciiTheme="majorHAnsi" w:eastAsiaTheme="majorEastAsia" w:hAnsiTheme="majorHAnsi" w:cstheme="majorBidi"/>
      <w:b/>
      <w:bCs/>
      <w:color w:val="000000"/>
      <w:sz w:val="22"/>
    </w:rPr>
  </w:style>
  <w:style w:type="paragraph" w:styleId="Nagwek4">
    <w:name w:val="heading 4"/>
    <w:basedOn w:val="Normalny"/>
    <w:next w:val="Normalny"/>
    <w:link w:val="Nagwek4Znak"/>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gwek9">
    <w:name w:val="heading 9"/>
    <w:basedOn w:val="Normalny"/>
    <w:next w:val="Normalny"/>
    <w:link w:val="Nagwek9Znak"/>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618BF"/>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E618BF"/>
  </w:style>
  <w:style w:type="paragraph" w:styleId="Stopka">
    <w:name w:val="footer"/>
    <w:basedOn w:val="Normalny"/>
    <w:link w:val="StopkaZnak"/>
    <w:uiPriority w:val="99"/>
    <w:unhideWhenUsed/>
    <w:rsid w:val="00E618BF"/>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E618BF"/>
  </w:style>
  <w:style w:type="paragraph" w:styleId="Bezodstpw">
    <w:name w:val="No Spacing"/>
    <w:uiPriority w:val="1"/>
    <w:qFormat/>
    <w:rsid w:val="00FC693F"/>
    <w:pPr>
      <w:spacing w:after="0" w:line="240" w:lineRule="auto"/>
    </w:pPr>
  </w:style>
  <w:style w:type="character" w:customStyle="1" w:styleId="Nagwek1Znak">
    <w:name w:val="Nagłówek 1 Znak"/>
    <w:basedOn w:val="Domylnaczcionkaakapitu"/>
    <w:link w:val="Nagwe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FC693F"/>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FC693F"/>
    <w:rPr>
      <w:rFonts w:asciiTheme="majorHAnsi" w:eastAsiaTheme="majorEastAsia" w:hAnsiTheme="majorHAnsi" w:cstheme="majorBidi"/>
      <w:b/>
      <w:bCs/>
      <w:color w:val="4F81BD" w:themeColor="accent1"/>
    </w:rPr>
  </w:style>
  <w:style w:type="paragraph" w:styleId="Tytu">
    <w:name w:val="Title"/>
    <w:basedOn w:val="Normalny"/>
    <w:next w:val="Normalny"/>
    <w:link w:val="TytuZnak"/>
    <w:uiPriority w:val="10"/>
    <w:qFormat/>
    <w:rsid w:val="00FC693F"/>
    <w:pPr>
      <w:spacing w:after="240" w:line="240" w:lineRule="auto"/>
      <w:contextualSpacing/>
    </w:pPr>
    <w:rPr>
      <w:rFonts w:asciiTheme="majorHAnsi" w:eastAsiaTheme="majorEastAsia" w:hAnsiTheme="majorHAnsi" w:cstheme="majorBidi"/>
      <w:b/>
      <w:color w:val="000000"/>
      <w:spacing w:val="5"/>
      <w:kern w:val="28"/>
      <w:sz w:val="50"/>
      <w:szCs w:val="52"/>
    </w:rPr>
  </w:style>
  <w:style w:type="character" w:customStyle="1" w:styleId="TytuZnak">
    <w:name w:val="Tytuł Znak"/>
    <w:basedOn w:val="Domylnaczcionkaakapitu"/>
    <w:link w:val="Tyt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ytu">
    <w:name w:val="Subtitle"/>
    <w:basedOn w:val="Normalny"/>
    <w:next w:val="Normalny"/>
    <w:link w:val="PodtytuZnak"/>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FC693F"/>
    <w:rPr>
      <w:rFonts w:asciiTheme="majorHAnsi" w:eastAsiaTheme="majorEastAsia" w:hAnsiTheme="majorHAnsi" w:cstheme="majorBidi"/>
      <w:i/>
      <w:iCs/>
      <w:color w:val="4F81BD" w:themeColor="accent1"/>
      <w:spacing w:val="15"/>
      <w:sz w:val="24"/>
      <w:szCs w:val="24"/>
    </w:rPr>
  </w:style>
  <w:style w:type="paragraph" w:styleId="Akapitzlist">
    <w:name w:val="List Paragraph"/>
    <w:basedOn w:val="Normalny"/>
    <w:uiPriority w:val="34"/>
    <w:qFormat/>
    <w:rsid w:val="00FC693F"/>
    <w:pPr>
      <w:ind w:left="720"/>
      <w:contextualSpacing/>
    </w:pPr>
  </w:style>
  <w:style w:type="paragraph" w:styleId="Tekstpodstawowy">
    <w:name w:val="Body Text"/>
    <w:basedOn w:val="Normalny"/>
    <w:link w:val="TekstpodstawowyZnak"/>
    <w:uiPriority w:val="99"/>
    <w:unhideWhenUsed/>
    <w:rsid w:val="00AA1D8D"/>
  </w:style>
  <w:style w:type="character" w:customStyle="1" w:styleId="TekstpodstawowyZnak">
    <w:name w:val="Tekst podstawowy Znak"/>
    <w:basedOn w:val="Domylnaczcionkaakapitu"/>
    <w:link w:val="Tekstpodstawowy"/>
    <w:uiPriority w:val="99"/>
    <w:rsid w:val="00AA1D8D"/>
  </w:style>
  <w:style w:type="paragraph" w:styleId="Tekstpodstawowy2">
    <w:name w:val="Body Text 2"/>
    <w:basedOn w:val="Normalny"/>
    <w:link w:val="Tekstpodstawowy2Znak"/>
    <w:uiPriority w:val="99"/>
    <w:unhideWhenUsed/>
    <w:rsid w:val="00AA1D8D"/>
    <w:pPr>
      <w:spacing w:line="480" w:lineRule="auto"/>
    </w:pPr>
  </w:style>
  <w:style w:type="character" w:customStyle="1" w:styleId="Tekstpodstawowy2Znak">
    <w:name w:val="Tekst podstawowy 2 Znak"/>
    <w:basedOn w:val="Domylnaczcionkaakapitu"/>
    <w:link w:val="Tekstpodstawowy2"/>
    <w:uiPriority w:val="99"/>
    <w:rsid w:val="00AA1D8D"/>
  </w:style>
  <w:style w:type="paragraph" w:styleId="Tekstpodstawowy3">
    <w:name w:val="Body Text 3"/>
    <w:basedOn w:val="Normalny"/>
    <w:link w:val="Tekstpodstawowy3Znak"/>
    <w:uiPriority w:val="99"/>
    <w:unhideWhenUsed/>
    <w:rsid w:val="00AA1D8D"/>
    <w:rPr>
      <w:sz w:val="16"/>
      <w:szCs w:val="16"/>
    </w:rPr>
  </w:style>
  <w:style w:type="character" w:customStyle="1" w:styleId="Tekstpodstawowy3Znak">
    <w:name w:val="Tekst podstawowy 3 Znak"/>
    <w:basedOn w:val="Domylnaczcionkaakapitu"/>
    <w:link w:val="Tekstpodstawowy3"/>
    <w:uiPriority w:val="99"/>
    <w:rsid w:val="00AA1D8D"/>
    <w:rPr>
      <w:sz w:val="16"/>
      <w:szCs w:val="16"/>
    </w:rPr>
  </w:style>
  <w:style w:type="paragraph" w:styleId="Lista">
    <w:name w:val="List"/>
    <w:basedOn w:val="Normalny"/>
    <w:uiPriority w:val="99"/>
    <w:unhideWhenUsed/>
    <w:rsid w:val="00AA1D8D"/>
    <w:pPr>
      <w:ind w:left="360" w:hanging="360"/>
      <w:contextualSpacing/>
    </w:pPr>
  </w:style>
  <w:style w:type="paragraph" w:styleId="Lista2">
    <w:name w:val="List 2"/>
    <w:basedOn w:val="Normalny"/>
    <w:uiPriority w:val="99"/>
    <w:unhideWhenUsed/>
    <w:rsid w:val="00326F90"/>
    <w:pPr>
      <w:ind w:left="720" w:hanging="360"/>
      <w:contextualSpacing/>
    </w:pPr>
  </w:style>
  <w:style w:type="paragraph" w:styleId="Lista3">
    <w:name w:val="List 3"/>
    <w:basedOn w:val="Normalny"/>
    <w:uiPriority w:val="99"/>
    <w:unhideWhenUsed/>
    <w:rsid w:val="00326F90"/>
    <w:pPr>
      <w:ind w:left="1080" w:hanging="360"/>
      <w:contextualSpacing/>
    </w:pPr>
  </w:style>
  <w:style w:type="paragraph" w:styleId="Listapunktowana">
    <w:name w:val="List Bullet"/>
    <w:basedOn w:val="Normalny"/>
    <w:uiPriority w:val="99"/>
    <w:unhideWhenUsed/>
    <w:rsid w:val="00326F90"/>
    <w:pPr>
      <w:numPr>
        <w:numId w:val="1"/>
      </w:numPr>
      <w:contextualSpacing/>
    </w:pPr>
  </w:style>
  <w:style w:type="paragraph" w:styleId="Listapunktowana2">
    <w:name w:val="List Bullet 2"/>
    <w:basedOn w:val="Normalny"/>
    <w:uiPriority w:val="99"/>
    <w:unhideWhenUsed/>
    <w:rsid w:val="00326F90"/>
    <w:pPr>
      <w:numPr>
        <w:numId w:val="2"/>
      </w:numPr>
      <w:contextualSpacing/>
    </w:pPr>
  </w:style>
  <w:style w:type="paragraph" w:styleId="Listapunktowana3">
    <w:name w:val="List Bullet 3"/>
    <w:basedOn w:val="Normalny"/>
    <w:uiPriority w:val="99"/>
    <w:unhideWhenUsed/>
    <w:rsid w:val="00326F90"/>
    <w:pPr>
      <w:numPr>
        <w:numId w:val="3"/>
      </w:numPr>
      <w:contextualSpacing/>
    </w:pPr>
  </w:style>
  <w:style w:type="paragraph" w:styleId="Listanumerowana">
    <w:name w:val="List Number"/>
    <w:basedOn w:val="Normalny"/>
    <w:uiPriority w:val="99"/>
    <w:unhideWhenUsed/>
    <w:rsid w:val="00326F90"/>
    <w:pPr>
      <w:numPr>
        <w:numId w:val="5"/>
      </w:numPr>
      <w:contextualSpacing/>
    </w:pPr>
  </w:style>
  <w:style w:type="paragraph" w:styleId="Listanumerowana2">
    <w:name w:val="List Number 2"/>
    <w:basedOn w:val="Normalny"/>
    <w:uiPriority w:val="99"/>
    <w:unhideWhenUsed/>
    <w:rsid w:val="0029639D"/>
    <w:pPr>
      <w:numPr>
        <w:numId w:val="6"/>
      </w:numPr>
      <w:contextualSpacing/>
    </w:pPr>
  </w:style>
  <w:style w:type="paragraph" w:styleId="Listanumerowana3">
    <w:name w:val="List Number 3"/>
    <w:basedOn w:val="Normalny"/>
    <w:uiPriority w:val="99"/>
    <w:unhideWhenUsed/>
    <w:rsid w:val="0029639D"/>
    <w:pPr>
      <w:numPr>
        <w:numId w:val="7"/>
      </w:numPr>
      <w:contextualSpacing/>
    </w:pPr>
  </w:style>
  <w:style w:type="paragraph" w:styleId="Lista-kontynuacja">
    <w:name w:val="List Continue"/>
    <w:basedOn w:val="Normalny"/>
    <w:uiPriority w:val="99"/>
    <w:unhideWhenUsed/>
    <w:rsid w:val="0029639D"/>
    <w:pPr>
      <w:ind w:left="360"/>
      <w:contextualSpacing/>
    </w:pPr>
  </w:style>
  <w:style w:type="paragraph" w:styleId="Lista-kontynuacja2">
    <w:name w:val="List Continue 2"/>
    <w:basedOn w:val="Normalny"/>
    <w:uiPriority w:val="99"/>
    <w:unhideWhenUsed/>
    <w:rsid w:val="0029639D"/>
    <w:pPr>
      <w:ind w:left="720"/>
      <w:contextualSpacing/>
    </w:pPr>
  </w:style>
  <w:style w:type="paragraph" w:styleId="Lista-kontynuacja3">
    <w:name w:val="List Continue 3"/>
    <w:basedOn w:val="Normalny"/>
    <w:uiPriority w:val="99"/>
    <w:unhideWhenUsed/>
    <w:rsid w:val="0029639D"/>
    <w:pPr>
      <w:ind w:left="1080"/>
      <w:contextualSpacing/>
    </w:pPr>
  </w:style>
  <w:style w:type="paragraph" w:styleId="Tekstmakra">
    <w:name w:val="macro"/>
    <w:link w:val="TekstmakraZnak"/>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aZnak">
    <w:name w:val="Tekst makra Znak"/>
    <w:basedOn w:val="Domylnaczcionkaakapitu"/>
    <w:link w:val="Tekstmakra"/>
    <w:uiPriority w:val="99"/>
    <w:rsid w:val="0029639D"/>
    <w:rPr>
      <w:rFonts w:ascii="Courier" w:hAnsi="Courier"/>
      <w:sz w:val="20"/>
      <w:szCs w:val="20"/>
    </w:rPr>
  </w:style>
  <w:style w:type="paragraph" w:styleId="Cytat">
    <w:name w:val="Quote"/>
    <w:basedOn w:val="Normalny"/>
    <w:next w:val="Normalny"/>
    <w:link w:val="CytatZnak"/>
    <w:uiPriority w:val="29"/>
    <w:qFormat/>
    <w:rsid w:val="00FC693F"/>
    <w:pPr>
      <w:spacing w:after="160"/>
      <w:ind w:left="504" w:right="360"/>
    </w:pPr>
    <w:rPr>
      <w:i/>
      <w:iCs/>
      <w:color w:val="374151"/>
      <w:sz w:val="20"/>
    </w:rPr>
  </w:style>
  <w:style w:type="character" w:customStyle="1" w:styleId="CytatZnak">
    <w:name w:val="Cytat Znak"/>
    <w:basedOn w:val="Domylnaczcionkaakapitu"/>
    <w:link w:val="Cytat"/>
    <w:uiPriority w:val="29"/>
    <w:rsid w:val="00FC693F"/>
    <w:rPr>
      <w:i/>
      <w:iCs/>
      <w:color w:val="000000" w:themeColor="text1"/>
    </w:rPr>
  </w:style>
  <w:style w:type="character" w:customStyle="1" w:styleId="Nagwek4Znak">
    <w:name w:val="Nagłówek 4 Znak"/>
    <w:basedOn w:val="Domylnaczcionkaakapitu"/>
    <w:link w:val="Nagwek4"/>
    <w:uiPriority w:val="9"/>
    <w:semiHidden/>
    <w:rsid w:val="00FC693F"/>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FC693F"/>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FC693F"/>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FC693F"/>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FC693F"/>
    <w:rPr>
      <w:rFonts w:asciiTheme="majorHAnsi" w:eastAsiaTheme="majorEastAsia" w:hAnsiTheme="majorHAnsi" w:cstheme="majorBidi"/>
      <w:color w:val="4F81BD" w:themeColor="accent1"/>
      <w:sz w:val="20"/>
      <w:szCs w:val="20"/>
    </w:rPr>
  </w:style>
  <w:style w:type="character" w:customStyle="1" w:styleId="Nagwek9Znak">
    <w:name w:val="Nagłówek 9 Znak"/>
    <w:basedOn w:val="Domylnaczcionkaakapitu"/>
    <w:link w:val="Nagwek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ny"/>
    <w:next w:val="Normalny"/>
    <w:uiPriority w:val="35"/>
    <w:semiHidden/>
    <w:unhideWhenUsed/>
    <w:qFormat/>
    <w:rsid w:val="00FC693F"/>
    <w:pPr>
      <w:spacing w:line="240" w:lineRule="auto"/>
    </w:pPr>
    <w:rPr>
      <w:b/>
      <w:bCs/>
      <w:color w:val="4F81BD" w:themeColor="accent1"/>
      <w:sz w:val="18"/>
      <w:szCs w:val="18"/>
    </w:rPr>
  </w:style>
  <w:style w:type="character" w:styleId="Pogrubienie">
    <w:name w:val="Strong"/>
    <w:basedOn w:val="Domylnaczcionkaakapitu"/>
    <w:uiPriority w:val="22"/>
    <w:qFormat/>
    <w:rsid w:val="00FC693F"/>
    <w:rPr>
      <w:b/>
      <w:bCs/>
    </w:rPr>
  </w:style>
  <w:style w:type="character" w:styleId="Uwydatnienie">
    <w:name w:val="Emphasis"/>
    <w:basedOn w:val="Domylnaczcionkaakapitu"/>
    <w:uiPriority w:val="20"/>
    <w:qFormat/>
    <w:rsid w:val="00FC693F"/>
    <w:rPr>
      <w:i/>
      <w:iCs/>
    </w:rPr>
  </w:style>
  <w:style w:type="paragraph" w:styleId="Cytatintensywny">
    <w:name w:val="Intense Quote"/>
    <w:basedOn w:val="Normalny"/>
    <w:next w:val="Normalny"/>
    <w:link w:val="CytatintensywnyZnak"/>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FC693F"/>
    <w:rPr>
      <w:b/>
      <w:bCs/>
      <w:i/>
      <w:iCs/>
      <w:color w:val="4F81BD" w:themeColor="accent1"/>
    </w:rPr>
  </w:style>
  <w:style w:type="character" w:styleId="Wyrnieniedelikatne">
    <w:name w:val="Subtle Emphasis"/>
    <w:basedOn w:val="Domylnaczcionkaakapitu"/>
    <w:uiPriority w:val="19"/>
    <w:qFormat/>
    <w:rsid w:val="00FC693F"/>
    <w:rPr>
      <w:i/>
      <w:iCs/>
      <w:color w:val="808080" w:themeColor="text1" w:themeTint="7F"/>
    </w:rPr>
  </w:style>
  <w:style w:type="character" w:styleId="Wyrnienieintensywne">
    <w:name w:val="Intense Emphasis"/>
    <w:basedOn w:val="Domylnaczcionkaakapitu"/>
    <w:uiPriority w:val="21"/>
    <w:qFormat/>
    <w:rsid w:val="00FC693F"/>
    <w:rPr>
      <w:b/>
      <w:bCs/>
      <w:i/>
      <w:iCs/>
      <w:color w:val="4F81BD" w:themeColor="accent1"/>
    </w:rPr>
  </w:style>
  <w:style w:type="character" w:styleId="Odwoaniedelikatne">
    <w:name w:val="Subtle Reference"/>
    <w:basedOn w:val="Domylnaczcionkaakapitu"/>
    <w:uiPriority w:val="31"/>
    <w:qFormat/>
    <w:rsid w:val="00FC693F"/>
    <w:rPr>
      <w:smallCaps/>
      <w:color w:val="C0504D" w:themeColor="accent2"/>
      <w:u w:val="single"/>
    </w:rPr>
  </w:style>
  <w:style w:type="character" w:styleId="Odwoanieintensywne">
    <w:name w:val="Intense Reference"/>
    <w:basedOn w:val="Domylnaczcionkaakapitu"/>
    <w:uiPriority w:val="32"/>
    <w:qFormat/>
    <w:rsid w:val="00FC693F"/>
    <w:rPr>
      <w:b/>
      <w:bCs/>
      <w:smallCaps/>
      <w:color w:val="C0504D" w:themeColor="accent2"/>
      <w:spacing w:val="5"/>
      <w:u w:val="single"/>
    </w:rPr>
  </w:style>
  <w:style w:type="character" w:styleId="Tytuksiki">
    <w:name w:val="Book Title"/>
    <w:basedOn w:val="Domylnaczcionkaakapitu"/>
    <w:uiPriority w:val="33"/>
    <w:qFormat/>
    <w:rsid w:val="00FC693F"/>
    <w:rPr>
      <w:b/>
      <w:bCs/>
      <w:smallCaps/>
      <w:spacing w:val="5"/>
    </w:rPr>
  </w:style>
  <w:style w:type="paragraph" w:styleId="Nagwekspisutreci">
    <w:name w:val="TOC Heading"/>
    <w:basedOn w:val="Nagwek1"/>
    <w:next w:val="Normalny"/>
    <w:uiPriority w:val="39"/>
    <w:semiHidden/>
    <w:unhideWhenUsed/>
    <w:qFormat/>
    <w:rsid w:val="00FC693F"/>
    <w:pPr>
      <w:outlineLvl w:val="9"/>
    </w:pPr>
  </w:style>
  <w:style w:type="table" w:styleId="Tabela-Siatka">
    <w:name w:val="Table Grid"/>
    <w:basedOn w:val="Standardowy"/>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
    <w:name w:val="Light Shading"/>
    <w:basedOn w:val="Standardowy"/>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Jasnalista">
    <w:name w:val="Light List"/>
    <w:basedOn w:val="Standardowy"/>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redniecieniowanie1">
    <w:name w:val="Medium Shading 1"/>
    <w:basedOn w:val="Standardowy"/>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lista1">
    <w:name w:val="Medium List 1"/>
    <w:basedOn w:val="Standardowy"/>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Ciemnalista">
    <w:name w:val="Dark List"/>
    <w:basedOn w:val="Standardowy"/>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iemnalistaakcent2">
    <w:name w:val="Dark List Accent 2"/>
    <w:basedOn w:val="Standardowy"/>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olorowecieniowanie">
    <w:name w:val="Colorful Shading"/>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olorowalista">
    <w:name w:val="Colorful List"/>
    <w:basedOn w:val="Standardowy"/>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9</Pages>
  <Words>3345</Words>
  <Characters>22279</Characters>
  <Application>Microsoft Office Word</Application>
  <DocSecurity>0</DocSecurity>
  <Lines>390</Lines>
  <Paragraphs>102</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25522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Anna Głogowska-Balcerzak</cp:lastModifiedBy>
  <cp:revision>13</cp:revision>
  <dcterms:created xsi:type="dcterms:W3CDTF">2026-09-15T09:41:00Z</dcterms:created>
  <dcterms:modified xsi:type="dcterms:W3CDTF">2026-09-15T09:53:00Z</dcterms:modified>
  <cp:category/>
</cp:coreProperties>
</file>